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480" w:after="260"/>
      </w:pPr>
      <w:r>
        <w:rPr>
          <w:rFonts w:ascii="Calibri" w:hAnsi="Calibri" w:eastAsia="Calibri"/>
          <w:b/>
          <w:color w:val="0B7A75"/>
          <w:sz w:val="21"/>
        </w:rPr>
        <w:t>HOSPITAL &amp; CLINIC ADMINISTRATOR ENABLEMENT PACK</w:t>
      </w:r>
    </w:p>
    <w:p>
      <w:pPr>
        <w:spacing w:after="80"/>
      </w:pPr>
      <w:r>
        <w:rPr>
          <w:rFonts w:ascii="Calibri" w:hAnsi="Calibri" w:eastAsia="Calibri"/>
          <w:b/>
          <w:color w:val="123047"/>
          <w:sz w:val="62"/>
        </w:rPr>
        <w:t>STEWARD</w:t>
      </w:r>
    </w:p>
    <w:p>
      <w:pPr>
        <w:spacing w:after="140"/>
      </w:pPr>
      <w:r>
        <w:rPr>
          <w:rFonts w:ascii="Calibri" w:hAnsi="Calibri" w:eastAsia="Calibri"/>
          <w:b/>
          <w:color w:val="176B87"/>
          <w:sz w:val="44"/>
        </w:rPr>
        <w:t>Hospital &amp; Clinic Administrator Complete AI OS</w:t>
      </w:r>
    </w:p>
    <w:p>
      <w:pPr>
        <w:spacing w:after="360"/>
      </w:pPr>
      <w:r>
        <w:rPr>
          <w:rFonts w:ascii="Calibri" w:hAnsi="Calibri" w:eastAsia="Calibri"/>
          <w:b/>
          <w:color w:val="5F6B76"/>
          <w:sz w:val="29"/>
        </w:rPr>
        <w:t>Setup, Benefits, Decision-Center, Operations, Governance &amp; Agent-Management Guide</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Core promise: </w:t>
      </w:r>
      <w:r>
        <w:rPr>
          <w:rFonts w:ascii="Calibri" w:hAnsi="Calibri" w:eastAsia="Calibri"/>
          <w:color w:val="1F2937"/>
          <w:sz w:val="22"/>
        </w:rPr>
        <w:t>Help administrators see the whole system, prepare better decisions, align people and resources, close loops, and govern AI with brakes—while accountable humans and official systems retain authority, action, acknowledgment, and record.</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Please allow time: </w:t>
      </w:r>
      <w:r>
        <w:rPr>
          <w:rFonts w:ascii="Calibri" w:hAnsi="Calibri" w:eastAsia="Calibri"/>
          <w:color w:val="1F2937"/>
          <w:sz w:val="22"/>
        </w:rPr>
        <w:t>This one-file installation may require several Hermes turns. It never continues in the background. Keep S0, S1, and S2 receipts and wait for the final STEWARD Activation Report.</w:t>
      </w: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Not a live command or official system: </w:t>
      </w:r>
      <w:r>
        <w:rPr>
          <w:rFonts w:ascii="Calibri" w:hAnsi="Calibri" w:eastAsia="Calibri"/>
          <w:color w:val="1F2937"/>
          <w:sz w:val="22"/>
        </w:rPr>
        <w:t>STEWARD is not an EHR, HRIS, scheduler, claims or finance ledger, procurement system, incident platform, security console, emergency command center, or autonomous executive.</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520"/>
        <w:gridCol w:w="3240"/>
        <w:gridCol w:w="3600"/>
      </w:tblGrid>
      <w:tr>
        <w:trPr>
          <w:cantSplit/>
          <w:tblHeader w:val="true"/>
          <w:cantSplit/>
        </w:trPr>
        <w:tc>
          <w:tcPr>
            <w:tcW w:type="dxa" w:w="25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Program</w:t>
            </w:r>
          </w:p>
        </w:tc>
        <w:tc>
          <w:tcPr>
            <w:tcW w:type="dxa" w:w="32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Installation identity</w:t>
            </w:r>
          </w:p>
        </w:tc>
        <w:tc>
          <w:tcPr>
            <w:tcW w:type="dxa" w:w="36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Safe starting state</w:t>
            </w:r>
          </w:p>
        </w:tc>
      </w:tr>
      <w:tr>
        <w:trPr>
          <w:cantSplit/>
        </w:trPr>
        <w:tc>
          <w:tcPr>
            <w:tcW w:type="dxa" w:w="25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STEWARD Complete Edition</w:t>
            </w:r>
          </w:p>
        </w:tc>
        <w:tc>
          <w:tcPr>
            <w:tcW w:type="dxa" w:w="32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hospital_clinic_administration • My STEWARD</w:t>
            </w:r>
          </w:p>
        </w:tc>
        <w:tc>
          <w:tcPr>
            <w:tcW w:type="dxa" w:w="3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Private • aggregate/process only • powers inactive • agents disabled</w:t>
            </w:r>
          </w:p>
        </w:tc>
      </w:tr>
    </w:tbl>
    <w:p>
      <w:pPr>
        <w:spacing w:before="0" w:after="40"/>
      </w:pPr>
    </w:p>
    <w:p>
      <w:pPr>
        <w:spacing w:before="240"/>
      </w:pPr>
      <w:r>
        <w:rPr>
          <w:rFonts w:ascii="Calibri" w:hAnsi="Calibri" w:eastAsia="Calibri"/>
          <w:b/>
          <w:color w:val="5F6B76"/>
          <w:sz w:val="20"/>
        </w:rPr>
        <w:t>Version 1.0  •  Reviewed July 15, 2026  •  Administrator-controlled</w:t>
      </w:r>
    </w:p>
    <w:p>
      <w:pPr>
        <w:pStyle w:val="Heading1"/>
        <w:keepNext/>
        <w:pageBreakBefore/>
      </w:pPr>
      <w:r>
        <w:t>The outcome: more leadership capacity, not transferred authority</w:t>
      </w:r>
    </w:p>
    <w:p>
      <w:pPr>
        <w:spacing w:before="0" w:after="240" w:line="288" w:lineRule="auto"/>
      </w:pPr>
      <w:r>
        <w:rPr>
          <w:rFonts w:ascii="Calibri" w:hAnsi="Calibri" w:eastAsia="Calibri"/>
          <w:b/>
          <w:color w:val="123047"/>
          <w:sz w:val="26"/>
        </w:rPr>
        <w:t>STEWARD turns fragmented strategy, operations, resource, workforce, quality, risk, and AI-governance work into clear questions, decision packets, owned workflows, and closed loops.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900"/>
        <w:gridCol w:w="3840"/>
        <w:gridCol w:w="3620"/>
      </w:tblGrid>
      <w:tr>
        <w:trPr>
          <w:cantSplit/>
          <w:tblHeader w:val="true"/>
          <w:cantSplit/>
        </w:trPr>
        <w:tc>
          <w:tcPr>
            <w:tcW w:type="dxa" w:w="1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Administrator outcome</w:t>
            </w:r>
          </w:p>
        </w:tc>
        <w:tc>
          <w:tcPr>
            <w:tcW w:type="dxa" w:w="38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What STEWARD prepares</w:t>
            </w:r>
          </w:p>
        </w:tc>
        <w:tc>
          <w:tcPr>
            <w:tcW w:type="dxa" w:w="36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What remains human-owned</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Clear command view</w:t>
            </w:r>
          </w:p>
        </w:tc>
        <w:tc>
          <w:tcPr>
            <w:tcW w:type="dxa" w:w="38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Core Four, seven attention items, sources, owners, states, and receipts</w:t>
            </w:r>
          </w:p>
        </w:tc>
        <w:tc>
          <w:tcPr>
            <w:tcW w:type="dxa" w:w="36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Priority, escalation, decision, and official update</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Better decisions</w:t>
            </w:r>
          </w:p>
        </w:tc>
        <w:tc>
          <w:tcPr>
            <w:tcW w:type="dxa" w:w="38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Options, assumptions, evidence, equity, reversibility, dependencies, and pre-mortems</w:t>
            </w:r>
          </w:p>
        </w:tc>
        <w:tc>
          <w:tcPr>
            <w:tcW w:type="dxa" w:w="36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Accept, revise, defer, reject, communicate, and act</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Operational focus</w:t>
            </w:r>
          </w:p>
        </w:tc>
        <w:tc>
          <w:tcPr>
            <w:tcW w:type="dxa" w:w="38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Aggregate access, demand, capacity, flow, handoff, and improvement questions</w:t>
            </w:r>
          </w:p>
        </w:tc>
        <w:tc>
          <w:tcPr>
            <w:tcW w:type="dxa" w:w="36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Clinical/operational judgment and live-system action</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Resource stewardship</w:t>
            </w:r>
          </w:p>
        </w:tc>
        <w:tc>
          <w:tcPr>
            <w:tcW w:type="dxa" w:w="38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Budget, workforce, vendor, asset, and sustainability scenarios</w:t>
            </w:r>
          </w:p>
        </w:tc>
        <w:tc>
          <w:tcPr>
            <w:tcW w:type="dxa" w:w="36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Accounting, employment, procurement, contract, and allocation decisions</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Assurance readiness</w:t>
            </w:r>
          </w:p>
        </w:tc>
        <w:tc>
          <w:tcPr>
            <w:tcW w:type="dxa" w:w="38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Current-source crosswalks, evidence requests, gaps, owners, and expiry</w:t>
            </w:r>
          </w:p>
        </w:tc>
        <w:tc>
          <w:tcPr>
            <w:tcW w:type="dxa" w:w="36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Applicability, compliance, accreditation, reporting, and attestation</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AI governance</w:t>
            </w:r>
          </w:p>
        </w:tc>
        <w:tc>
          <w:tcPr>
            <w:tcW w:type="dxa" w:w="38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Use-case intake, charters, tests, monitoring, kill, rollback, purge, and retirement</w:t>
            </w:r>
          </w:p>
        </w:tc>
        <w:tc>
          <w:tcPr>
            <w:tcW w:type="dxa" w:w="36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Risk acceptance, authorization, deployment, incident action, and release</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Benefit truth: </w:t>
      </w:r>
      <w:r>
        <w:rPr>
          <w:rFonts w:ascii="Calibri" w:hAnsi="Calibri" w:eastAsia="Calibri"/>
          <w:color w:val="1F2937"/>
          <w:sz w:val="22"/>
        </w:rPr>
        <w:t>These are intended benefits, not guaranteed savings, safety, compliance, accreditation, throughput, access, retention, or wellbeing outcomes. Establish a baseline and report only observed value.</w:t>
      </w:r>
    </w:p>
    <w:p>
      <w:pPr>
        <w:pStyle w:val="Heading1"/>
        <w:keepNext/>
        <w:pageBreakBefore/>
      </w:pPr>
      <w:r>
        <w:t>Separate lane, explicit context, one active hat</w:t>
      </w: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Separate means separate: </w:t>
      </w:r>
      <w:r>
        <w:rPr>
          <w:rFonts w:ascii="Calibri" w:hAnsi="Calibri" w:eastAsia="Calibri"/>
          <w:color w:val="1F2937"/>
          <w:sz w:val="22"/>
        </w:rPr>
        <w:t>STEWARD uses lane hospital_clinic_administration, route /hospital-clinic-administrators, namespace hcadmin_steward.*, one My STEWARD home, and its own schemas, permissions, agents, traces, and history. It does not inherit a nurse, physician, resident, respiratory, educator, or generic employee profile.</w:t>
      </w:r>
    </w:p>
    <w:p>
      <w:pPr>
        <w:pStyle w:val="Heading2"/>
        <w:keepNext/>
      </w:pPr>
      <w:r>
        <w:t>The active-hat model</w:t>
      </w:r>
    </w:p>
    <w:p>
      <w:pPr>
        <w:spacing w:before="0" w:after="80" w:line="300" w:lineRule="auto"/>
        <w:keepNext/>
        <w:keepLines/>
        <w:numPr>
          <w:ilvl w:val="0"/>
          <w:numId w:val="10"/>
        </w:numPr>
      </w:pPr>
      <w:r>
        <w:rPr>
          <w:rFonts w:ascii="Calibri" w:hAnsi="Calibri" w:eastAsia="Calibri"/>
          <w:color w:val="1F2937"/>
          <w:sz w:val="22"/>
        </w:rPr>
        <w:t>Choose exactly one active hat for each workflow and show it on every consequential artifact.</w:t>
      </w:r>
    </w:p>
    <w:p>
      <w:pPr>
        <w:spacing w:before="0" w:after="80" w:line="300" w:lineRule="auto"/>
        <w:keepNext/>
        <w:keepLines/>
        <w:numPr>
          <w:ilvl w:val="0"/>
          <w:numId w:val="10"/>
        </w:numPr>
      </w:pPr>
      <w:r>
        <w:rPr>
          <w:rFonts w:ascii="Calibri" w:hAnsi="Calibri" w:eastAsia="Calibri"/>
          <w:color w:val="1F2937"/>
          <w:sz w:val="22"/>
        </w:rPr>
        <w:t>Keep exact title, clinical credential, committee role, delegated authority, approval threshold, and data authorization as separate fields.</w:t>
      </w:r>
    </w:p>
    <w:p>
      <w:pPr>
        <w:spacing w:before="0" w:after="80" w:line="300" w:lineRule="auto"/>
        <w:keepNext/>
        <w:keepLines/>
        <w:numPr>
          <w:ilvl w:val="0"/>
          <w:numId w:val="10"/>
        </w:numPr>
      </w:pPr>
      <w:r>
        <w:rPr>
          <w:rFonts w:ascii="Calibri" w:hAnsi="Calibri" w:eastAsia="Calibri"/>
          <w:color w:val="1F2937"/>
          <w:sz w:val="22"/>
        </w:rPr>
        <w:t>A clinical credential does not grant budget, employment, contracting, or governance authority; an administrative title does not grant clinical authority.</w:t>
      </w:r>
    </w:p>
    <w:p>
      <w:pPr>
        <w:spacing w:before="0" w:after="80" w:line="300" w:lineRule="auto"/>
        <w:keepNext/>
        <w:keepLines/>
        <w:numPr>
          <w:ilvl w:val="0"/>
          <w:numId w:val="10"/>
        </w:numPr>
      </w:pPr>
      <w:r>
        <w:rPr>
          <w:rFonts w:ascii="Calibri" w:hAnsi="Calibri" w:eastAsia="Calibri"/>
          <w:color w:val="1F2937"/>
          <w:sz w:val="22"/>
        </w:rPr>
        <w:t>If work crosses hats, split it into separately owned artifacts and connect them only through a named human handoff.</w:t>
      </w:r>
    </w:p>
    <w:p>
      <w:pPr>
        <w:spacing w:before="0" w:after="80" w:line="300" w:lineRule="auto"/>
        <w:keepLines/>
        <w:numPr>
          <w:ilvl w:val="0"/>
          <w:numId w:val="10"/>
        </w:numPr>
      </w:pPr>
      <w:r>
        <w:rPr>
          <w:rFonts w:ascii="Calibri" w:hAnsi="Calibri" w:eastAsia="Calibri"/>
          <w:color w:val="1F2937"/>
          <w:sz w:val="22"/>
        </w:rPr>
        <w:t>Whole-life tools require a personally controlled isolated store and stay disabled in an institution-managed workspace unless technical separation is proven.</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250"/>
        <w:gridCol w:w="7110"/>
      </w:tblGrid>
      <w:tr>
        <w:trPr>
          <w:cantSplit/>
          <w:tblHeader w:val="true"/>
          <w:cantSplit/>
        </w:trPr>
        <w:tc>
          <w:tcPr>
            <w:tcW w:type="dxa" w:w="22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Context field</w:t>
            </w:r>
          </w:p>
        </w:tc>
        <w:tc>
          <w:tcPr>
            <w:tcW w:type="dxa" w:w="71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Required truth</w:t>
            </w:r>
          </w:p>
        </w:tc>
      </w:tr>
      <w:tr>
        <w:trPr>
          <w:cantSplit/>
        </w:trPr>
        <w:tc>
          <w:tcPr>
            <w:tcW w:type="dxa" w:w="2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Entity and ownership</w:t>
            </w:r>
          </w:p>
        </w:tc>
        <w:tc>
          <w:tcPr>
            <w:tcW w:type="dxa" w:w="71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Exact legal entity, governance/ownership model, and applicable local layer</w:t>
            </w:r>
          </w:p>
        </w:tc>
      </w:tr>
      <w:tr>
        <w:trPr>
          <w:cantSplit/>
        </w:trPr>
        <w:tc>
          <w:tcPr>
            <w:tcW w:type="dxa" w:w="2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Operating level</w:t>
            </w:r>
          </w:p>
        </w:tc>
        <w:tc>
          <w:tcPr>
            <w:tcW w:type="dxa" w:w="71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Enterprise, hospital, service line, clinic, practice, network, or site</w:t>
            </w:r>
          </w:p>
        </w:tc>
      </w:tr>
      <w:tr>
        <w:trPr>
          <w:cantSplit/>
        </w:trPr>
        <w:tc>
          <w:tcPr>
            <w:tcW w:type="dxa" w:w="2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Active hat</w:t>
            </w:r>
          </w:p>
        </w:tc>
        <w:tc>
          <w:tcPr>
            <w:tcW w:type="dxa" w:w="71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Administrative, clinical, board/committee, project, educator, or other verified role</w:t>
            </w:r>
          </w:p>
        </w:tc>
      </w:tr>
      <w:tr>
        <w:trPr>
          <w:cantSplit/>
        </w:trPr>
        <w:tc>
          <w:tcPr>
            <w:tcW w:type="dxa" w:w="2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Decision rights</w:t>
            </w:r>
          </w:p>
        </w:tc>
        <w:tc>
          <w:tcPr>
            <w:tcW w:type="dxa" w:w="71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Source, scope, threshold, exclusions, approver, executor, and expiry</w:t>
            </w:r>
          </w:p>
        </w:tc>
      </w:tr>
      <w:tr>
        <w:trPr>
          <w:cantSplit/>
        </w:trPr>
        <w:tc>
          <w:tcPr>
            <w:tcW w:type="dxa" w:w="2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Human routes</w:t>
            </w:r>
          </w:p>
        </w:tc>
        <w:tc>
          <w:tcPr>
            <w:tcW w:type="dxa" w:w="71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Executive, clinical, finance, HR/labor, compliance, legal, privacy, security, quality, procurement, accessibility, and emergency owners</w:t>
            </w:r>
          </w:p>
        </w:tc>
      </w:tr>
    </w:tbl>
    <w:p>
      <w:pPr>
        <w:spacing w:before="0" w:after="40"/>
      </w:pPr>
    </w:p>
    <w:p>
      <w:pPr>
        <w:pStyle w:val="Heading1"/>
        <w:keepNext/>
        <w:pageBreakBefore/>
      </w:pPr>
      <w:r>
        <w:t>The governing sequence: CHART → ALIGN → ORBIT → human decision</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200"/>
        <w:gridCol w:w="4900"/>
        <w:gridCol w:w="3260"/>
      </w:tblGrid>
      <w:tr>
        <w:trPr>
          <w:cantSplit/>
          <w:tblHeader w:val="true"/>
          <w:cantSplit/>
        </w:trPr>
        <w:tc>
          <w:tcPr>
            <w:tcW w:type="dxa" w:w="1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Framework</w:t>
            </w:r>
          </w:p>
        </w:tc>
        <w:tc>
          <w:tcPr>
            <w:tcW w:type="dxa" w:w="4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Questions it must answer</w:t>
            </w:r>
          </w:p>
        </w:tc>
        <w:tc>
          <w:tcPr>
            <w:tcW w:type="dxa" w:w="32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Hard stop</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CHART</w:t>
            </w:r>
          </w:p>
        </w:tc>
        <w:tc>
          <w:tcPr>
            <w:tcW w:type="dxa" w:w="4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Context/constituency/consequence; Human authority and active hat; Authorization/access/agreements/action; Regulation/risk/resources/records; Trace/test/transition/expiry/termination</w:t>
            </w:r>
          </w:p>
        </w:tc>
        <w:tc>
          <w:tcPr>
            <w:tcW w:type="dxa" w:w="3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Unknown, stale, expired, conflicting, or out-of-authority state becomes a Question or Block—not permission.</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ALIGN</w:t>
            </w:r>
          </w:p>
        </w:tc>
        <w:tc>
          <w:tcPr>
            <w:tcW w:type="dxa" w:w="4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Aim and decision boundary; Leadership and accountability; Inputs/interdependencies/official systems; Gates/governance/contingencies/communication; Next state/receiver/closed loop/expiry</w:t>
            </w:r>
          </w:p>
        </w:tc>
        <w:tc>
          <w:tcPr>
            <w:tcW w:type="dxa" w:w="3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It never turns a draft, message, or model status into a decision, acknowledgment, task, or official record.</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ORBIT</w:t>
            </w:r>
          </w:p>
        </w:tc>
        <w:tc>
          <w:tcPr>
            <w:tcW w:type="dxa" w:w="4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Objective/owner/non-goals; Role and rights risk; Boundaries for data/tools/destinations/time/cost; Independent tests; Transfer to human or terminate</w:t>
            </w:r>
          </w:p>
        </w:tc>
        <w:tc>
          <w:tcPr>
            <w:tcW w:type="dxa" w:w="3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self-approval, permission escalation, recursive delegation, hidden retry, unbounded persistence, or prohibited action.</w:t>
            </w:r>
          </w:p>
        </w:tc>
      </w:tr>
    </w:tbl>
    <w:p>
      <w:pPr>
        <w:spacing w:before="0" w:after="40"/>
      </w:pPr>
    </w:p>
    <w:p>
      <w:pPr>
        <w:spacing w:before="120" w:after="200" w:line="276" w:lineRule="auto"/>
        <w:shd w:fill="E8F4EE"/>
        <w:pBdr>
          <w:left w:val="single" w:sz="18" w:space="8" w:color="1F6B52"/>
        </w:pBdr>
        <w:ind w:left="180" w:right="120"/>
      </w:pPr>
      <w:r>
        <w:rPr>
          <w:rFonts w:ascii="Calibri" w:hAnsi="Calibri" w:eastAsia="Calibri"/>
          <w:b/>
          <w:color w:val="123047"/>
          <w:sz w:val="22"/>
        </w:rPr>
        <w:t xml:space="preserve">Sequence rule: </w:t>
      </w:r>
      <w:r>
        <w:rPr>
          <w:rFonts w:ascii="Calibri" w:hAnsi="Calibri" w:eastAsia="Calibri"/>
          <w:color w:val="1F2937"/>
          <w:sz w:val="22"/>
        </w:rPr>
        <w:t>CHART gates the use. ALIGN organizes human-owned work. ORBIT governs a software agent. A named authorized human decides and acts in the official system. Passing a gate permits preparation only; it never creates underlying authority.</w:t>
      </w:r>
    </w:p>
    <w:p>
      <w:pPr>
        <w:pStyle w:val="Heading2"/>
        <w:keepNext/>
      </w:pPr>
      <w:r>
        <w:t>Decision-status language</w:t>
      </w:r>
    </w:p>
    <w:p>
      <w:pPr>
        <w:spacing w:before="0" w:after="80" w:line="300" w:lineRule="auto"/>
        <w:keepNext/>
        <w:keepLines/>
        <w:numPr>
          <w:ilvl w:val="0"/>
          <w:numId w:val="10"/>
        </w:numPr>
      </w:pPr>
      <w:r>
        <w:rPr>
          <w:rFonts w:ascii="Calibri" w:hAnsi="Calibri" w:eastAsia="Calibri"/>
          <w:color w:val="1F2937"/>
          <w:sz w:val="22"/>
        </w:rPr>
        <w:t>Proposed — Not Approved: a draft or option awaiting review.</w:t>
      </w:r>
    </w:p>
    <w:p>
      <w:pPr>
        <w:spacing w:before="0" w:after="80" w:line="300" w:lineRule="auto"/>
        <w:keepNext/>
        <w:keepLines/>
        <w:numPr>
          <w:ilvl w:val="0"/>
          <w:numId w:val="10"/>
        </w:numPr>
      </w:pPr>
      <w:r>
        <w:rPr>
          <w:rFonts w:ascii="Calibri" w:hAnsi="Calibri" w:eastAsia="Calibri"/>
          <w:color w:val="1F2937"/>
          <w:sz w:val="22"/>
        </w:rPr>
        <w:t>Approved for One Bounded Run: exact purpose, data, permission, owner, expiry, and exit are recorded.</w:t>
      </w:r>
    </w:p>
    <w:p>
      <w:pPr>
        <w:spacing w:before="0" w:after="80" w:line="300" w:lineRule="auto"/>
        <w:keepNext/>
        <w:keepLines/>
        <w:numPr>
          <w:ilvl w:val="0"/>
          <w:numId w:val="10"/>
        </w:numPr>
      </w:pPr>
      <w:r>
        <w:rPr>
          <w:rFonts w:ascii="Calibri" w:hAnsi="Calibri" w:eastAsia="Calibri"/>
          <w:color w:val="1F2937"/>
          <w:sz w:val="22"/>
        </w:rPr>
        <w:t>Accepted / Revised / Deferred / Rejected: a named human records the outcome and rationale.</w:t>
      </w:r>
    </w:p>
    <w:p>
      <w:pPr>
        <w:spacing w:before="0" w:after="80" w:line="300" w:lineRule="auto"/>
        <w:keepLines/>
        <w:numPr>
          <w:ilvl w:val="0"/>
          <w:numId w:val="10"/>
        </w:numPr>
      </w:pPr>
      <w:r>
        <w:rPr>
          <w:rFonts w:ascii="Calibri" w:hAnsi="Calibri" w:eastAsia="Calibri"/>
          <w:color w:val="1F2937"/>
          <w:sz w:val="22"/>
        </w:rPr>
        <w:t>Reconciled in Official System: the authorized human confirms the authoritative destination—not the AI.</w:t>
      </w:r>
    </w:p>
    <w:p>
      <w:pPr>
        <w:pStyle w:val="Heading1"/>
        <w:keepNext/>
        <w:pageBreakBefore/>
      </w:pPr>
      <w:r>
        <w:t>My STEWARD — one administrator decision center</w:t>
      </w:r>
    </w:p>
    <w:p>
      <w:pPr>
        <w:spacing w:before="0" w:after="240" w:line="288" w:lineRule="auto"/>
      </w:pPr>
      <w:r>
        <w:rPr>
          <w:rFonts w:ascii="Calibri" w:hAnsi="Calibri" w:eastAsia="Calibri"/>
          <w:b/>
          <w:color w:val="123047"/>
          <w:sz w:val="26"/>
        </w:rPr>
        <w:t>Four launchers orient, reveal, align, and close. The optional fifth launcher starts empty. Seven attention items keep the page useful without becoming a shadow command center.</w:t>
      </w:r>
    </w:p>
    <w:p>
      <w:pPr>
        <w:spacing w:before="120" w:after="80"/>
        <w:jc w:val="center"/>
      </w:pPr>
      <w:r>
        <w:drawing>
          <wp:inline xmlns:a="http://schemas.openxmlformats.org/drawingml/2006/main" xmlns:pic="http://schemas.openxmlformats.org/drawingml/2006/picture">
            <wp:extent cx="5925312" cy="3818534"/>
            <wp:docPr id="1" name="Picture 1" descr="My STEWARD administrator dashboard showing the Core Four, seven attention items, CHART–ALIGN–ORBIT, power and agent defaults, and permanent controls." title="Hospital Clinic Admin My Steward Dashboard"/>
            <wp:cNvGraphicFramePr>
              <a:graphicFrameLocks noChangeAspect="1"/>
            </wp:cNvGraphicFramePr>
            <a:graphic>
              <a:graphicData uri="http://schemas.openxmlformats.org/drawingml/2006/picture">
                <pic:pic>
                  <pic:nvPicPr>
                    <pic:cNvPr id="0" name="hospital-clinic-admin-my-steward-dashboard.png"/>
                    <pic:cNvPicPr/>
                  </pic:nvPicPr>
                  <pic:blipFill>
                    <a:blip r:embed="rId11"/>
                    <a:stretch>
                      <a:fillRect/>
                    </a:stretch>
                  </pic:blipFill>
                  <pic:spPr>
                    <a:xfrm>
                      <a:off x="0" y="0"/>
                      <a:ext cx="5925312" cy="3818534"/>
                    </a:xfrm>
                    <a:prstGeom prst="rect"/>
                  </pic:spPr>
                </pic:pic>
              </a:graphicData>
            </a:graphic>
          </wp:inline>
        </w:drawing>
      </w:r>
    </w:p>
    <w:p>
      <w:pPr>
        <w:spacing w:before="0" w:after="200"/>
        <w:jc w:val="center"/>
      </w:pPr>
      <w:r>
        <w:rPr>
          <w:rFonts w:ascii="Calibri" w:hAnsi="Calibri" w:eastAsia="Calibri"/>
          <w:i/>
          <w:color w:val="5F6B76"/>
          <w:sz w:val="18"/>
        </w:rPr>
        <w:t>My STEWARD administrator dashboard showing the Core Four, seven attention items, CHART–ALIGN–ORBIT, power and agent defaults, and permanent controls.</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Dashboard truth: </w:t>
      </w:r>
      <w:r>
        <w:rPr>
          <w:rFonts w:ascii="Calibri" w:hAnsi="Calibri" w:eastAsia="Calibri"/>
          <w:color w:val="1F2937"/>
          <w:sz w:val="22"/>
        </w:rPr>
        <w:t>A dashboard value is a view, not an order, official record, staffing decision, compliance conclusion, or emergency signal. Every consequential item shows source, freshness, active hat, human owner, state, expiry, and official-system route.</w:t>
      </w:r>
    </w:p>
    <w:p>
      <w:pPr>
        <w:pStyle w:val="Heading1"/>
        <w:keepNext/>
        <w:pageBreakBefore/>
      </w:pPr>
      <w:r>
        <w:t>Twenty-four optional SuperPowers — PWR-01 through PWR-12</w:t>
      </w:r>
    </w:p>
    <w:p>
      <w:pPr>
        <w:spacing w:before="0" w:after="240" w:line="288" w:lineRule="auto"/>
      </w:pPr>
      <w:r>
        <w:rPr>
          <w:rFonts w:ascii="Calibri" w:hAnsi="Calibri" w:eastAsia="Calibri"/>
          <w:b/>
          <w:color w:val="123047"/>
          <w:sz w:val="26"/>
        </w:rPr>
        <w:t>Every power installs Available Inactive. Catalog visibility is not authority. PWR-01–04 set strategy; PWR-05–08 transform access, flow, and operations; PWR-09–11 steward economics and resources; PWR-12 begins workforce evidence.</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050"/>
        <w:gridCol w:w="3630"/>
        <w:gridCol w:w="1050"/>
        <w:gridCol w:w="3630"/>
      </w:tblGrid>
      <w:tr>
        <w:trPr>
          <w:cantSplit/>
          <w:tblHeader w:val="true"/>
          <w:cantSplit/>
        </w:trPr>
        <w:tc>
          <w:tcPr>
            <w:tcW w:type="dxa" w:w="10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ID</w:t>
            </w:r>
          </w:p>
        </w:tc>
        <w:tc>
          <w:tcPr>
            <w:tcW w:type="dxa" w:w="363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SuperPower</w:t>
            </w:r>
          </w:p>
        </w:tc>
        <w:tc>
          <w:tcPr>
            <w:tcW w:type="dxa" w:w="10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ID</w:t>
            </w:r>
          </w:p>
        </w:tc>
        <w:tc>
          <w:tcPr>
            <w:tcW w:type="dxa" w:w="363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SuperPower</w:t>
            </w:r>
          </w:p>
        </w:tc>
      </w:tr>
      <w:tr>
        <w:trPr>
          <w:cantSplit/>
        </w:trPr>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PWR-01 · S</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Strategic North Star &amp; Operating Mandate</w:t>
            </w:r>
          </w:p>
        </w:tc>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PWR-07 · T</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Daily Management, Huddle &amp; Escalation Decision Board</w:t>
            </w:r>
          </w:p>
        </w:tc>
      </w:tr>
      <w:tr>
        <w:trPr>
          <w:cantSplit/>
        </w:trPr>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PWR-02 · S</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Executive Decision, Options &amp; Scenario Studio</w:t>
            </w:r>
          </w:p>
        </w:tc>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PWR-08 · T</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Hospital, Clinic, Service &amp; Site Operating-Model Designer</w:t>
            </w:r>
          </w:p>
        </w:tc>
      </w:tr>
      <w:tr>
        <w:trPr>
          <w:cantSplit/>
        </w:trPr>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PWR-03 · S</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Portfolio, Initiative &amp; Benefit-Realization Navigator</w:t>
            </w:r>
          </w:p>
        </w:tc>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PWR-09 · E</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Budget, Forecast, Variance &amp; Resource-Stewardship Studio</w:t>
            </w:r>
          </w:p>
        </w:tc>
      </w:tr>
      <w:tr>
        <w:trPr>
          <w:cantSplit/>
        </w:trPr>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PWR-04 · S</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Board, Committee &amp; Stakeholder Governance Navigator</w:t>
            </w:r>
          </w:p>
        </w:tc>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PWR-10 · E</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Revenue Cycle, Payer &amp; Contract Learning Navigator</w:t>
            </w:r>
          </w:p>
        </w:tc>
      </w:tr>
      <w:tr>
        <w:trPr>
          <w:cantSplit/>
        </w:trPr>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PWR-05 · T</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Access, Demand &amp; Capacity Intelligence Studio</w:t>
            </w:r>
          </w:p>
        </w:tc>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PWR-11 · E</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Procurement, Vendor, Asset &amp; Sustainability Due-Diligence Studio</w:t>
            </w:r>
          </w:p>
        </w:tc>
      </w:tr>
      <w:tr>
        <w:trPr>
          <w:cantSplit/>
        </w:trPr>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PWR-06 · T</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Flow, Throughput, Handoffs &amp; Bottleneck Lab</w:t>
            </w:r>
          </w:p>
        </w:tc>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PWR-12 · W</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Workforce Capacity, Workload &amp; Skill-Mix Evidence Navigator</w:t>
            </w:r>
          </w:p>
        </w:tc>
      </w:tr>
    </w:tbl>
    <w:p>
      <w:pPr>
        <w:spacing w:before="0" w:after="40"/>
      </w:pPr>
    </w:p>
    <w:p>
      <w:pPr>
        <w:pStyle w:val="Heading2"/>
        <w:keepNext/>
      </w:pPr>
      <w:r>
        <w:t>What these powers give the administrator</w:t>
      </w:r>
    </w:p>
    <w:p>
      <w:pPr>
        <w:spacing w:before="0" w:after="80" w:line="300" w:lineRule="auto"/>
        <w:keepNext/>
        <w:keepLines/>
        <w:numPr>
          <w:ilvl w:val="0"/>
          <w:numId w:val="10"/>
        </w:numPr>
      </w:pPr>
      <w:r>
        <w:rPr>
          <w:rFonts w:ascii="Calibri" w:hAnsi="Calibri" w:eastAsia="Calibri"/>
          <w:color w:val="1F2937"/>
          <w:sz w:val="22"/>
        </w:rPr>
        <w:t>A traceable mandate, option-neutral decision studio, realistic portfolio, and board/committee preparation without invented authority or official minutes.</w:t>
      </w:r>
    </w:p>
    <w:p>
      <w:pPr>
        <w:spacing w:before="0" w:after="80" w:line="300" w:lineRule="auto"/>
        <w:keepNext/>
        <w:keepLines/>
        <w:numPr>
          <w:ilvl w:val="0"/>
          <w:numId w:val="10"/>
        </w:numPr>
      </w:pPr>
      <w:r>
        <w:rPr>
          <w:rFonts w:ascii="Calibri" w:hAnsi="Calibri" w:eastAsia="Calibri"/>
          <w:color w:val="1F2937"/>
          <w:sz w:val="22"/>
        </w:rPr>
        <w:t>Aggregate access, demand, capacity, flow, handoff, daily-management, and operating-model questions without patient tracking or live command.</w:t>
      </w:r>
    </w:p>
    <w:p>
      <w:pPr>
        <w:spacing w:before="0" w:after="80" w:line="300" w:lineRule="auto"/>
        <w:keepNext/>
        <w:keepLines/>
        <w:numPr>
          <w:ilvl w:val="0"/>
          <w:numId w:val="10"/>
        </w:numPr>
      </w:pPr>
      <w:r>
        <w:rPr>
          <w:rFonts w:ascii="Calibri" w:hAnsi="Calibri" w:eastAsia="Calibri"/>
          <w:color w:val="1F2937"/>
          <w:sz w:val="22"/>
        </w:rPr>
        <w:t>Budget, revenue-cycle, payer, contract, procurement, vendor, asset, and sustainability learning without transactions, claim decisions, signatures, or purchasing commitments.</w:t>
      </w:r>
    </w:p>
    <w:p>
      <w:pPr>
        <w:spacing w:before="0" w:after="80" w:line="300" w:lineRule="auto"/>
        <w:keepLines/>
        <w:numPr>
          <w:ilvl w:val="0"/>
          <w:numId w:val="10"/>
        </w:numPr>
      </w:pPr>
      <w:r>
        <w:rPr>
          <w:rFonts w:ascii="Calibri" w:hAnsi="Calibri" w:eastAsia="Calibri"/>
          <w:color w:val="1F2937"/>
          <w:sz w:val="22"/>
        </w:rPr>
        <w:t>Aggregate workforce-capacity and workload evidence without employee profiles, assignments, performance scores, or staffing-safety declarations.</w:t>
      </w:r>
    </w:p>
    <w:p>
      <w:pPr>
        <w:spacing w:before="120" w:after="200" w:line="276" w:lineRule="auto"/>
        <w:shd w:fill="E8F3F7"/>
        <w:pBdr>
          <w:left w:val="single" w:sz="18" w:space="8" w:color="176B87"/>
        </w:pBdr>
        <w:ind w:left="180" w:right="120"/>
      </w:pPr>
      <w:r>
        <w:rPr>
          <w:rFonts w:ascii="Calibri" w:hAnsi="Calibri" w:eastAsia="Calibri"/>
          <w:b/>
          <w:color w:val="123047"/>
          <w:sz w:val="22"/>
        </w:rPr>
        <w:t xml:space="preserve">Preview rule: </w:t>
      </w:r>
      <w:r>
        <w:rPr>
          <w:rFonts w:ascii="Calibri" w:hAnsi="Calibri" w:eastAsia="Calibri"/>
          <w:color w:val="1F2937"/>
          <w:sz w:val="22"/>
        </w:rPr>
        <w:t>A preview shows the exact workflow, data, output, human owner, gates, prohibitions, expiry, and safe exit. It does not activate a power or grant access.</w:t>
      </w:r>
    </w:p>
    <w:p>
      <w:pPr>
        <w:pStyle w:val="Heading1"/>
        <w:keepNext/>
        <w:pageBreakBefore/>
      </w:pPr>
      <w:r>
        <w:t>Twenty-four optional SuperPowers — PWR-13 through PWR-24</w:t>
      </w:r>
    </w:p>
    <w:p>
      <w:pPr>
        <w:spacing w:before="0" w:after="240" w:line="288" w:lineRule="auto"/>
      </w:pPr>
      <w:r>
        <w:rPr>
          <w:rFonts w:ascii="Calibri" w:hAnsi="Calibri" w:eastAsia="Calibri"/>
          <w:b/>
          <w:color w:val="123047"/>
          <w:sz w:val="26"/>
        </w:rPr>
        <w:t>PWR-13–15 support workforce, change, leadership, and whole-life boundaries; PWR-16–18 support assurance and equity; PWR-19–21 support resilience; PWR-22–24 govern AI use cases and agents.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050"/>
        <w:gridCol w:w="3630"/>
        <w:gridCol w:w="1050"/>
        <w:gridCol w:w="3630"/>
      </w:tblGrid>
      <w:tr>
        <w:trPr>
          <w:cantSplit/>
          <w:tblHeader w:val="true"/>
          <w:cantSplit/>
        </w:trPr>
        <w:tc>
          <w:tcPr>
            <w:tcW w:type="dxa" w:w="10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ID</w:t>
            </w:r>
          </w:p>
        </w:tc>
        <w:tc>
          <w:tcPr>
            <w:tcW w:type="dxa" w:w="363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SuperPower</w:t>
            </w:r>
          </w:p>
        </w:tc>
        <w:tc>
          <w:tcPr>
            <w:tcW w:type="dxa" w:w="10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ID</w:t>
            </w:r>
          </w:p>
        </w:tc>
        <w:tc>
          <w:tcPr>
            <w:tcW w:type="dxa" w:w="363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SuperPower</w:t>
            </w:r>
          </w:p>
        </w:tc>
      </w:tr>
      <w:tr>
        <w:trPr>
          <w:cantSplit/>
        </w:trPr>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PWR-13 · W</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Culture, Psychological Safety, Conflict &amp; Listening Navigator</w:t>
            </w:r>
          </w:p>
        </w:tc>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PWR-19 · R</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Emergency Preparedness, Business Continuity &amp; Downtime Rehearsal</w:t>
            </w:r>
          </w:p>
        </w:tc>
      </w:tr>
      <w:tr>
        <w:trPr>
          <w:cantSplit/>
        </w:trPr>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PWR-14 · W</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Change, Plain-Language Communication &amp; Adoption Architect</w:t>
            </w:r>
          </w:p>
        </w:tc>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PWR-20 · R</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Cybersecurity, Privacy &amp; Third-Party Risk Navigator</w:t>
            </w:r>
          </w:p>
        </w:tc>
      </w:tr>
      <w:tr>
        <w:trPr>
          <w:cantSplit/>
        </w:trPr>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PWR-15 · W</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Leadership, Delegation, Succession &amp; Whole-Life Compass</w:t>
            </w:r>
          </w:p>
        </w:tc>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PWR-21 · R</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Incident, Issue, Corrective-Action &amp; Learning System</w:t>
            </w:r>
          </w:p>
        </w:tc>
      </w:tr>
      <w:tr>
        <w:trPr>
          <w:cantSplit/>
        </w:trPr>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PWR-16 · A</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Quality, Safety, Accreditation &amp; Regulatory-Readiness Navigator</w:t>
            </w:r>
          </w:p>
        </w:tc>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PWR-22 · D</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Data, Digital &amp; AI Use-Case Portfolio Governor</w:t>
            </w:r>
          </w:p>
        </w:tc>
      </w:tr>
      <w:tr>
        <w:trPr>
          <w:cantSplit/>
        </w:trPr>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PWR-17 · A</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Policy, Control, Compliance &amp; Audit-Evidence Studio</w:t>
            </w:r>
          </w:p>
        </w:tc>
        <w:tc>
          <w:tcPr>
            <w:tcW w:type="dxa" w:w="1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PWR-23 · D</w:t>
            </w:r>
          </w:p>
        </w:tc>
        <w:tc>
          <w:tcPr>
            <w:tcW w:type="dxa" w:w="36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AI Agent Charter, Tool, Permission &amp; Human-Handoff Designer</w:t>
            </w:r>
          </w:p>
        </w:tc>
      </w:tr>
      <w:tr>
        <w:trPr>
          <w:cantSplit/>
        </w:trPr>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PWR-18 · A</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Equity, Accessibility, Patient/Family &amp; Community Experience Lens</w:t>
            </w:r>
          </w:p>
        </w:tc>
        <w:tc>
          <w:tcPr>
            <w:tcW w:type="dxa" w:w="1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PWR-24 · D</w:t>
            </w:r>
          </w:p>
        </w:tc>
        <w:tc>
          <w:tcPr>
            <w:tcW w:type="dxa" w:w="36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Agent Evaluation, Monitoring, Incident, Kill, Rollback &amp; Retirement Controller</w:t>
            </w:r>
          </w:p>
        </w:tc>
      </w:tr>
    </w:tbl>
    <w:p>
      <w:pPr>
        <w:spacing w:before="0" w:after="40"/>
      </w:pPr>
    </w:p>
    <w:p>
      <w:pPr>
        <w:pStyle w:val="Heading2"/>
        <w:keepNext/>
      </w:pPr>
      <w:r>
        <w:t>Activation discipline</w:t>
      </w:r>
    </w:p>
    <w:p>
      <w:pPr>
        <w:spacing w:before="0" w:after="80" w:line="300" w:lineRule="auto"/>
        <w:keepNext/>
        <w:keepLines/>
        <w:numPr>
          <w:ilvl w:val="0"/>
          <w:numId w:val="10"/>
        </w:numPr>
      </w:pPr>
      <w:r>
        <w:rPr>
          <w:rFonts w:ascii="Calibri" w:hAnsi="Calibri" w:eastAsia="Calibri"/>
          <w:color w:val="1F2937"/>
          <w:sz w:val="22"/>
        </w:rPr>
        <w:t>Start with zero or one low-risk, nonsensitive preview. Activating none is acceptable.</w:t>
      </w:r>
    </w:p>
    <w:p>
      <w:pPr>
        <w:spacing w:before="0" w:after="80" w:line="300" w:lineRule="auto"/>
        <w:keepNext/>
        <w:keepLines/>
        <w:numPr>
          <w:ilvl w:val="0"/>
          <w:numId w:val="10"/>
        </w:numPr>
      </w:pPr>
      <w:r>
        <w:rPr>
          <w:rFonts w:ascii="Calibri" w:hAnsi="Calibri" w:eastAsia="Calibri"/>
          <w:color w:val="1F2937"/>
          <w:sz w:val="22"/>
        </w:rPr>
        <w:t>Bind the exact purpose, allowed inputs, output, owner, approver, permission, time/cost limit, expiry, fallback, and deletion rule.</w:t>
      </w:r>
    </w:p>
    <w:p>
      <w:pPr>
        <w:spacing w:before="0" w:after="80" w:line="300" w:lineRule="auto"/>
        <w:keepNext/>
        <w:keepLines/>
        <w:numPr>
          <w:ilvl w:val="0"/>
          <w:numId w:val="10"/>
        </w:numPr>
      </w:pPr>
      <w:r>
        <w:rPr>
          <w:rFonts w:ascii="Calibri" w:hAnsi="Calibri" w:eastAsia="Calibri"/>
          <w:color w:val="1F2937"/>
          <w:sz w:val="22"/>
        </w:rPr>
        <w:t>At finish, the power returns to Available Inactive; any agent returns to PERM-P0 Disabled unless separately reauthorized.</w:t>
      </w:r>
    </w:p>
    <w:p>
      <w:pPr>
        <w:spacing w:before="0" w:after="80" w:line="300" w:lineRule="auto"/>
        <w:keepLines/>
        <w:numPr>
          <w:ilvl w:val="0"/>
          <w:numId w:val="10"/>
        </w:numPr>
      </w:pPr>
      <w:r>
        <w:rPr>
          <w:rFonts w:ascii="Calibri" w:hAnsi="Calibri" w:eastAsia="Calibri"/>
          <w:color w:val="1F2937"/>
          <w:sz w:val="22"/>
        </w:rPr>
        <w:t>Material change in data, model, vendor, integration, workflow, affected population, decision role, or law invalidates the prior receipt and triggers review.</w:t>
      </w:r>
    </w:p>
    <w:p>
      <w:pPr>
        <w:spacing w:before="120" w:after="200" w:line="276" w:lineRule="auto"/>
        <w:shd w:fill="F4EDF6"/>
        <w:pBdr>
          <w:left w:val="single" w:sz="18" w:space="8" w:color="73527C"/>
        </w:pBdr>
        <w:ind w:left="180" w:right="120"/>
      </w:pPr>
      <w:r>
        <w:rPr>
          <w:rFonts w:ascii="Calibri" w:hAnsi="Calibri" w:eastAsia="Calibri"/>
          <w:b/>
          <w:color w:val="123047"/>
          <w:sz w:val="22"/>
        </w:rPr>
        <w:t xml:space="preserve">Human Voice / Anti-Slop standard: </w:t>
      </w:r>
      <w:r>
        <w:rPr>
          <w:rFonts w:ascii="Calibri" w:hAnsi="Calibri" w:eastAsia="Calibri"/>
          <w:color w:val="1F2937"/>
          <w:sz w:val="22"/>
        </w:rPr>
        <w:t>Every executive, workforce, patient/community, vendor, and public-facing draft stays specific, source-linked, audience-appropriate, and easy to revise. Keep the accountable human's voice, owner, action, date, decision status, uncertainty, accessibility/language needs, and next human step. Remove filler, clichés, fake warmth or quotes, synthetic consensus, invented urgency, anthropomorphic AI claims, excessive headings, and unverifiable superlatives—without hiding caution, dissent, limitations, or attribution.</w:t>
      </w:r>
    </w:p>
    <w:p>
      <w:pPr>
        <w:pStyle w:val="Heading1"/>
        <w:keepNext/>
        <w:pageBreakBefore/>
      </w:pPr>
      <w:r>
        <w:t>Before setup: prepare truth, not sensitive records</w:t>
      </w:r>
    </w:p>
    <w:p>
      <w:pPr>
        <w:keepNext/>
        <w:spacing w:before="0" w:after="80" w:line="300" w:lineRule="auto"/>
        <w:keepLines/>
        <w:numPr>
          <w:ilvl w:val="0"/>
          <w:numId w:val="12"/>
        </w:numPr>
      </w:pPr>
      <w:r>
        <w:rPr>
          <w:rFonts w:ascii="Calibri" w:hAnsi="Calibri" w:eastAsia="Calibri"/>
          <w:color w:val="1F2937"/>
          <w:sz w:val="22"/>
        </w:rPr>
        <w:t>Use a new or technically verified-isolated administrator workspace and the single Complete Program Markdown file.</w:t>
      </w:r>
    </w:p>
    <w:p>
      <w:pPr>
        <w:keepNext/>
        <w:spacing w:before="0" w:after="80" w:line="300" w:lineRule="auto"/>
        <w:keepLines/>
        <w:numPr>
          <w:ilvl w:val="0"/>
          <w:numId w:val="12"/>
        </w:numPr>
      </w:pPr>
      <w:r>
        <w:rPr>
          <w:rFonts w:ascii="Calibri" w:hAnsi="Calibri" w:eastAsia="Calibri"/>
          <w:color w:val="1F2937"/>
          <w:sz w:val="22"/>
        </w:rPr>
        <w:t>Prepare exact title, legal entity, ownership/governance model, operating level, hospital/clinic/network/service/site, jurisdiction, active hat, decision rights, threshold, source, and expiry—or leave them visibly Unknown.</w:t>
      </w:r>
    </w:p>
    <w:p>
      <w:pPr>
        <w:keepNext/>
        <w:spacing w:before="0" w:after="80" w:line="300" w:lineRule="auto"/>
        <w:keepLines/>
        <w:numPr>
          <w:ilvl w:val="0"/>
          <w:numId w:val="12"/>
        </w:numPr>
      </w:pPr>
      <w:r>
        <w:rPr>
          <w:rFonts w:ascii="Calibri" w:hAnsi="Calibri" w:eastAsia="Calibri"/>
          <w:color w:val="1F2937"/>
          <w:sz w:val="22"/>
        </w:rPr>
        <w:t>Name human routes for executive, clinical, HR/labor, finance, quality, compliance, privacy, security, legal, procurement, accessibility, records, community, and emergency functions.</w:t>
      </w:r>
    </w:p>
    <w:p>
      <w:pPr>
        <w:keepNext/>
        <w:spacing w:before="0" w:after="80" w:line="300" w:lineRule="auto"/>
        <w:keepLines/>
        <w:numPr>
          <w:ilvl w:val="0"/>
          <w:numId w:val="12"/>
        </w:numPr>
      </w:pPr>
      <w:r>
        <w:rPr>
          <w:rFonts w:ascii="Calibri" w:hAnsi="Calibri" w:eastAsia="Calibri"/>
          <w:color w:val="1F2937"/>
          <w:sz w:val="22"/>
        </w:rPr>
        <w:t>Choose Private Administrator OS unless the institution has approved the exact platform, vendor/model, purpose, data, partition, identities, logs, retention, deletion, integrations, incident route, and owner.</w:t>
      </w:r>
    </w:p>
    <w:p>
      <w:pPr>
        <w:keepNext/>
        <w:spacing w:before="0" w:after="80" w:line="300" w:lineRule="auto"/>
        <w:keepLines/>
        <w:numPr>
          <w:ilvl w:val="0"/>
          <w:numId w:val="12"/>
        </w:numPr>
      </w:pPr>
      <w:r>
        <w:rPr>
          <w:rFonts w:ascii="Calibri" w:hAnsi="Calibri" w:eastAsia="Calibri"/>
          <w:color w:val="1F2937"/>
          <w:sz w:val="22"/>
        </w:rPr>
        <w:t>Do not collect or paste PHI, patient data, other-person workforce data, sensitive operator employment records, incidents, claims, contracts, vendor-confidential information, security details, or nonpublic financial data for installation.</w:t>
      </w:r>
    </w:p>
    <w:p>
      <w:pPr>
        <w:spacing w:before="0" w:after="80" w:line="300" w:lineRule="auto"/>
        <w:keepLines/>
        <w:numPr>
          <w:ilvl w:val="0"/>
          <w:numId w:val="12"/>
        </w:numPr>
      </w:pPr>
      <w:r>
        <w:rPr>
          <w:rFonts w:ascii="Calibri" w:hAnsi="Calibri" w:eastAsia="Calibri"/>
          <w:color w:val="1F2937"/>
          <w:sz w:val="22"/>
        </w:rPr>
        <w:t>Set accessibility and language preferences, and decide whether whole-life tools have a genuinely separate personally controlled store.</w:t>
      </w:r>
    </w:p>
    <w:p>
      <w:pPr>
        <w:pStyle w:val="Heading2"/>
        <w:keepNext/>
      </w:pPr>
      <w:r>
        <w:t>Give Hermes this one file</w:t>
      </w:r>
    </w:p>
    <w:p>
      <w:pPr>
        <w:keepLines/>
        <w:spacing w:before="100" w:after="160" w:line="264" w:lineRule="auto"/>
        <w:shd w:fill="E8F3F7"/>
        <w:pBdr>
          <w:left w:val="single" w:sz="18" w:space="8" w:color="176B87"/>
        </w:pBdr>
        <w:ind w:left="180" w:right="120"/>
      </w:pPr>
      <w:r>
        <w:rPr>
          <w:rFonts w:ascii="Calibri" w:hAnsi="Calibri" w:eastAsia="Calibri"/>
          <w:b/>
          <w:color w:val="123047"/>
          <w:sz w:val="18"/>
        </w:rPr>
        <w:t xml:space="preserve">Installation file: </w:t>
      </w:r>
      <w:r>
        <w:rPr>
          <w:rFonts w:ascii="Calibri" w:hAnsi="Calibri" w:eastAsia="Calibri"/>
          <w:color w:val="1F2937"/>
          <w:sz w:val="18"/>
        </w:rPr>
        <w:t>Hospital-and-Clinic-Administrator-Complete-AI-OS-with-STEWARD-SuperPowers-Hermes-Program.md</w:t>
      </w:r>
    </w:p>
    <w:p>
      <w:pPr>
        <w:spacing w:before="0" w:after="80" w:line="300" w:lineRule="auto"/>
        <w:keepNext/>
        <w:keepLines/>
        <w:numPr>
          <w:ilvl w:val="0"/>
          <w:numId w:val="10"/>
        </w:numPr>
      </w:pPr>
      <w:r>
        <w:rPr>
          <w:rFonts w:ascii="Calibri" w:hAnsi="Calibri" w:eastAsia="Calibri"/>
          <w:color w:val="1F2937"/>
          <w:sz w:val="22"/>
        </w:rPr>
        <w:t>Attach the complete Markdown program. Do not split, reorder, or use the ZIP as installation input.</w:t>
      </w:r>
    </w:p>
    <w:p>
      <w:pPr>
        <w:spacing w:before="0" w:after="80" w:line="300" w:lineRule="auto"/>
        <w:keepNext/>
        <w:keepLines/>
        <w:numPr>
          <w:ilvl w:val="0"/>
          <w:numId w:val="10"/>
        </w:numPr>
      </w:pPr>
      <w:r>
        <w:rPr>
          <w:rFonts w:ascii="Calibri" w:hAnsi="Calibri" w:eastAsia="Calibri"/>
          <w:color w:val="1F2937"/>
          <w:sz w:val="22"/>
        </w:rPr>
        <w:t>Say: Install this complete STEWARD program exactly as written. Begin with read-only preflight.</w:t>
      </w:r>
    </w:p>
    <w:p>
      <w:pPr>
        <w:spacing w:before="0" w:after="80" w:line="300" w:lineRule="auto"/>
        <w:keepLines/>
        <w:numPr>
          <w:ilvl w:val="0"/>
          <w:numId w:val="10"/>
        </w:numPr>
      </w:pPr>
      <w:r>
        <w:rPr>
          <w:rFonts w:ascii="Calibri" w:hAnsi="Calibri" w:eastAsia="Calibri"/>
          <w:color w:val="1F2937"/>
          <w:sz w:val="22"/>
        </w:rPr>
        <w:t>Review one combined Activation Card before approving any mutation.</w:t>
      </w:r>
    </w:p>
    <w:p>
      <w:pPr>
        <w:pStyle w:val="Heading1"/>
        <w:keepNext/>
        <w:pageBreakBefore/>
      </w:pPr>
      <w:r>
        <w:t>Paste the authoritative one-file installation prompt</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Allow time: </w:t>
      </w:r>
      <w:r>
        <w:rPr>
          <w:rFonts w:ascii="Calibri" w:hAnsi="Calibri" w:eastAsia="Calibri"/>
          <w:color w:val="1F2937"/>
          <w:sz w:val="22"/>
        </w:rPr>
        <w:t>Installation may require several Hermes turns because isolation, schemas, boundaries, recovery, accessibility, and runtime evidence are verified. Nothing runs after the conversation pauses or closes.</w:t>
      </w:r>
    </w:p>
    <w:p>
      <w:pPr>
        <w:keepLines/>
        <w:spacing w:before="100" w:after="160" w:line="264" w:lineRule="auto"/>
        <w:shd w:fill="E8F3F7"/>
        <w:pBdr>
          <w:left w:val="single" w:sz="18" w:space="8" w:color="176B87"/>
        </w:pBdr>
        <w:ind w:left="180" w:right="120"/>
      </w:pPr>
      <w:r>
        <w:rPr>
          <w:rFonts w:ascii="Calibri" w:hAnsi="Calibri" w:eastAsia="Calibri"/>
          <w:b/>
          <w:color w:val="123047"/>
          <w:sz w:val="18"/>
        </w:rPr>
        <w:t xml:space="preserve">Installation prompt — part 1 of 2: </w:t>
      </w:r>
      <w:r>
        <w:rPr>
          <w:rFonts w:ascii="Calibri" w:hAnsi="Calibri" w:eastAsia="Calibri"/>
          <w:color w:val="1F2937"/>
          <w:sz w:val="18"/>
        </w:rPr>
        <w:t>Install `HCADMINAIOS-STEWARD-COMPLETE-1.0` from this complete program in a new or verified-isolated `hospital_clinic_administration` lane at `/hospital-clinic-administrators` with namespace `hcadmin_steward.*` and home `My STEWARD`. Begin with read-only preflight and make no change until I approve one combined Activation Card. Separately record my minimum professional identity and authority metadata: exact title, legal entity, ownership/governance model, operating level, site/network/service, jurisdiction, active administrative or clinical hat, delegated decision rights, approval threshold, committee roles, data authorization, human functional owners, authority sources and expiry; infer no authority. Default to Private Administrator OS, no PHI, no patient data, no other-person employee/applicant/practitioner data, no sensitive operator employment record and no incident/claim/contract/vendor/security/nonpublic-financial data; conversation/model memory session-only; connectors/schedules/sharing/external actions Off; all 24 powers Available Inactive; and all 10 agents PERM-P0 Disabled.</w:t>
      </w:r>
    </w:p>
    <w:p>
      <w:pPr>
        <w:keepLines/>
        <w:spacing w:before="100" w:after="160" w:line="264" w:lineRule="auto"/>
        <w:shd w:fill="E8F3F7"/>
        <w:pBdr>
          <w:left w:val="single" w:sz="18" w:space="8" w:color="176B87"/>
        </w:pBdr>
        <w:ind w:left="180" w:right="120"/>
      </w:pPr>
      <w:r>
        <w:rPr>
          <w:rFonts w:ascii="Calibri" w:hAnsi="Calibri" w:eastAsia="Calibri"/>
          <w:b/>
          <w:color w:val="123047"/>
          <w:sz w:val="18"/>
        </w:rPr>
        <w:t xml:space="preserve">Installation prompt — part 2 of 2: </w:t>
      </w:r>
      <w:r>
        <w:rPr>
          <w:rFonts w:ascii="Calibri" w:hAnsi="Calibri" w:eastAsia="Calibri"/>
          <w:color w:val="1F2937"/>
          <w:sz w:val="18"/>
        </w:rPr>
        <w:t>Persist only explicitly approved artifacts with owner, ACL, retention and deletion. Create exactly one My STEWARD home; run CHART, ALIGN and ORBIT as applicable; keep S0, S1 and S2 receipts; execute all 160 release criteria with explicit status and evidence; stop on any critical blocker or unsupported critical probe; and finish only with the STEWARD Activation Report and first-safe-use prompts.</w:t>
      </w: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Approval behavior: </w:t>
      </w:r>
      <w:r>
        <w:rPr>
          <w:rFonts w:ascii="Calibri" w:hAnsi="Calibri" w:eastAsia="Calibri"/>
          <w:color w:val="1F2937"/>
          <w:sz w:val="22"/>
        </w:rPr>
        <w:t>Hermes must offer Approve, Revise, or Cancel on one Activation Card. Unknown authority may remain only when consequential functions stay blocked. A preview, dashboard shell, S1, or S2 receipt is progress—not completion.</w:t>
      </w:r>
    </w:p>
    <w:p>
      <w:pPr>
        <w:pStyle w:val="Heading1"/>
        <w:keepNext/>
        <w:pageBreakBefore/>
      </w:pPr>
      <w:r>
        <w:t>Phased installation, checkpoints, and release states</w:t>
      </w:r>
    </w:p>
    <w:p>
      <w:pPr>
        <w:spacing w:before="120" w:after="80"/>
        <w:jc w:val="center"/>
      </w:pPr>
      <w:r>
        <w:drawing>
          <wp:inline xmlns:a="http://schemas.openxmlformats.org/drawingml/2006/main" xmlns:pic="http://schemas.openxmlformats.org/drawingml/2006/picture">
            <wp:extent cx="5925312" cy="2633472"/>
            <wp:docPr id="2" name="Picture 2" descr="STEWARD installation flow from one complete file through S0, S1, S2, and a 160-criterion runtime Activation Report." title="Hospital Clinic Admin Steward Install Flow"/>
            <wp:cNvGraphicFramePr>
              <a:graphicFrameLocks noChangeAspect="1"/>
            </wp:cNvGraphicFramePr>
            <a:graphic>
              <a:graphicData uri="http://schemas.openxmlformats.org/drawingml/2006/picture">
                <pic:pic>
                  <pic:nvPicPr>
                    <pic:cNvPr id="0" name="hospital-clinic-admin-steward-install-flow.png"/>
                    <pic:cNvPicPr/>
                  </pic:nvPicPr>
                  <pic:blipFill>
                    <a:blip r:embed="rId12"/>
                    <a:stretch>
                      <a:fillRect/>
                    </a:stretch>
                  </pic:blipFill>
                  <pic:spPr>
                    <a:xfrm>
                      <a:off x="0" y="0"/>
                      <a:ext cx="5925312" cy="2633472"/>
                    </a:xfrm>
                    <a:prstGeom prst="rect"/>
                  </pic:spPr>
                </pic:pic>
              </a:graphicData>
            </a:graphic>
          </wp:inline>
        </w:drawing>
      </w:r>
    </w:p>
    <w:p>
      <w:pPr>
        <w:spacing w:before="0" w:after="200"/>
        <w:jc w:val="center"/>
      </w:pPr>
      <w:r>
        <w:rPr>
          <w:rFonts w:ascii="Calibri" w:hAnsi="Calibri" w:eastAsia="Calibri"/>
          <w:i/>
          <w:color w:val="5F6B76"/>
          <w:sz w:val="18"/>
        </w:rPr>
        <w:t>STEWARD installation flow from one complete file through S0, S1, S2, and a 160-criterion runtime Activation Report.</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300"/>
        <w:gridCol w:w="5450"/>
        <w:gridCol w:w="2610"/>
      </w:tblGrid>
      <w:tr>
        <w:trPr>
          <w:cantSplit/>
          <w:tblHeader w:val="true"/>
          <w:cantSplit/>
        </w:trPr>
        <w:tc>
          <w:tcPr>
            <w:tcW w:type="dxa" w:w="1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Phase</w:t>
            </w:r>
          </w:p>
        </w:tc>
        <w:tc>
          <w:tcPr>
            <w:tcW w:type="dxa" w:w="54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What Hermes does</w:t>
            </w:r>
          </w:p>
        </w:tc>
        <w:tc>
          <w:tcPr>
            <w:tcW w:type="dxa" w:w="26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Required state or receipt</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0 — Preflight</w:t>
            </w:r>
          </w:p>
        </w:tc>
        <w:tc>
          <w:tcPr>
            <w:tcW w:type="dxa" w:w="5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Read-only collision, isolation, capability, control, persistence, connector, schedule, agent, and package inspection</w:t>
            </w:r>
          </w:p>
        </w:tc>
        <w:tc>
          <w:tcPr>
            <w:tcW w:type="dxa" w:w="26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mutation; stop if isolation is unproven</w:t>
            </w:r>
          </w:p>
        </w:tc>
      </w:tr>
      <w:tr>
        <w:trPr>
          <w:cantSplit/>
        </w:trPr>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1 — Activation Card</w:t>
            </w:r>
          </w:p>
        </w:tc>
        <w:tc>
          <w:tcPr>
            <w:tcW w:type="dxa" w:w="5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Ask minimum questions; show scope, defaults, data boundaries, counts, tests, recovery, and sequence</w:t>
            </w:r>
          </w:p>
        </w:tc>
        <w:tc>
          <w:tcPr>
            <w:tcW w:type="dxa" w:w="26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Approve / Revise / Cancel</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2 — Foundation</w:t>
            </w:r>
          </w:p>
        </w:tc>
        <w:tc>
          <w:tcPr>
            <w:tcW w:type="dxa" w:w="5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Write S0; install lane, Trust Shield, CHART–ALIGN–ORBIT, My STEWARD shell, and 18 schemas; execute 40 foundation criteria</w:t>
            </w:r>
          </w:p>
        </w:tc>
        <w:tc>
          <w:tcPr>
            <w:tcW w:type="dxa" w:w="26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S1 only with evidence; no overlay claim</w:t>
            </w:r>
          </w:p>
        </w:tc>
      </w:tr>
      <w:tr>
        <w:trPr>
          <w:cantSplit/>
        </w:trPr>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3 — Overlay</w:t>
            </w:r>
          </w:p>
        </w:tc>
        <w:tc>
          <w:tcPr>
            <w:tcW w:type="dxa" w:w="5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Bind schemas; stage 24 powers, 24 workflows, 30 templates, 10 disabled agents; execute remaining 104 domain + 16 integration criteria</w:t>
            </w:r>
          </w:p>
        </w:tc>
        <w:tc>
          <w:tcPr>
            <w:tcW w:type="dxa" w:w="26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S2; powers inactive; agents disabled</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4–5 — Assurance/report</w:t>
            </w:r>
          </w:p>
        </w:tc>
        <w:tc>
          <w:tcPr>
            <w:tcW w:type="dxa" w:w="5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Reconcile all 160 runtime criteria; exercise privacy rejection, pause, kill, rollback, purge, removal, resume, accessibility, and uninstall</w:t>
            </w:r>
          </w:p>
        </w:tc>
        <w:tc>
          <w:tcPr>
            <w:tcW w:type="dxa" w:w="26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Activation Report or BLOCKED</w:t>
            </w:r>
          </w:p>
        </w:tc>
      </w:tr>
    </w:tbl>
    <w:p>
      <w:pPr>
        <w:spacing w:before="0" w:after="40"/>
      </w:pPr>
    </w:p>
    <w:p>
      <w:pPr>
        <w:pStyle w:val="Heading1"/>
        <w:keepNext/>
        <w:pageBreakBefore/>
      </w:pPr>
      <w:r>
        <w:t>If interrupted: resume exactly; never assume completion</w:t>
      </w:r>
    </w:p>
    <w:p>
      <w:pPr>
        <w:keepLines/>
        <w:spacing w:before="100" w:after="160" w:line="264" w:lineRule="auto"/>
        <w:shd w:fill="F2F4F7"/>
        <w:pBdr>
          <w:left w:val="single" w:sz="18" w:space="8" w:color="2E74B5"/>
        </w:pBdr>
        <w:ind w:left="180" w:right="120"/>
      </w:pPr>
      <w:r>
        <w:rPr>
          <w:rFonts w:ascii="Calibri" w:hAnsi="Calibri" w:eastAsia="Calibri"/>
          <w:b/>
          <w:color w:val="123047"/>
          <w:sz w:val="18"/>
        </w:rPr>
        <w:t xml:space="preserve">Exact resume command: </w:t>
      </w:r>
      <w:r>
        <w:rPr>
          <w:rFonts w:ascii="Calibri" w:hAnsi="Calibri" w:eastAsia="Calibri"/>
          <w:color w:val="1F2937"/>
          <w:sz w:val="18"/>
        </w:rPr>
        <w:t>RESUME HCADMINAIOS-STEWARD-COMPLETE-1.0 FROM CHECKPOINT &lt;S0|S1|S2&gt; USING SAVED RECEIPT; REVALIDATE OWNER, ISOLATED HOSPITAL_CLINIC_ADMINISTRATION LANE, ROUTE, NAMESPACE, EXACT TITLE, ENTITY, OPERATING LEVEL, SITE/SERVICE, ACTIVE HAT, DELEGATED AUTHORITY, DATA PARTITIONS, HUMAN ROUTES, SOURCES, PERMISSIONS, CHART, ALIGN, ORBIT, MY STEWARD, AGENT KILL SWITCH AND RECOVERY CONTROLS; DO NOT RESTART COMPLETED STAGES OR ASSUME STATE.</w:t>
      </w:r>
    </w:p>
    <w:p>
      <w:pPr>
        <w:pStyle w:val="Heading2"/>
        <w:keepNext/>
      </w:pPr>
      <w:r>
        <w:t>Recovery commands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3300"/>
        <w:gridCol w:w="6060"/>
      </w:tblGrid>
      <w:tr>
        <w:trPr>
          <w:cantSplit/>
          <w:tblHeader w:val="true"/>
          <w:cantSplit/>
        </w:trPr>
        <w:tc>
          <w:tcPr>
            <w:tcW w:type="dxa" w:w="3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Command</w:t>
            </w:r>
          </w:p>
        </w:tc>
        <w:tc>
          <w:tcPr>
            <w:tcW w:type="dxa" w:w="60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Required behavior</w:t>
            </w:r>
          </w:p>
        </w:tc>
      </w:tr>
      <w:tr>
        <w:trPr>
          <w:cantSplit/>
        </w:trPr>
        <w:tc>
          <w:tcPr>
            <w:tcW w:type="dxa" w:w="3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STATUS STEWARD INSTALL</w:t>
            </w:r>
          </w:p>
        </w:tc>
        <w:tc>
          <w:tcPr>
            <w:tcW w:type="dxa" w:w="6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Report phase, receipts, exact states, pending criteria, blockers, and no-background-work confirmation.</w:t>
            </w:r>
          </w:p>
        </w:tc>
      </w:tr>
      <w:tr>
        <w:trPr>
          <w:cantSplit/>
        </w:trPr>
        <w:tc>
          <w:tcPr>
            <w:tcW w:type="dxa" w:w="3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PAUSE ALL STEWARD</w:t>
            </w:r>
          </w:p>
        </w:tc>
        <w:tc>
          <w:tcPr>
            <w:tcW w:type="dxa" w:w="6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Immediately block preview, run, tool, schedule, share, and action while preserving a minimal readable receipt.</w:t>
            </w:r>
          </w:p>
        </w:tc>
      </w:tr>
      <w:tr>
        <w:trPr>
          <w:cantSplit/>
        </w:trPr>
        <w:tc>
          <w:tcPr>
            <w:tcW w:type="dxa" w:w="3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SAFE RESET STEWARD</w:t>
            </w:r>
          </w:p>
        </w:tc>
        <w:tc>
          <w:tcPr>
            <w:tcW w:type="dxa" w:w="6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Return powers to Available Inactive, agents to PERM-P0 Disabled, and remove ephemeral state.</w:t>
            </w:r>
          </w:p>
        </w:tc>
      </w:tr>
      <w:tr>
        <w:trPr>
          <w:cantSplit/>
        </w:trPr>
        <w:tc>
          <w:tcPr>
            <w:tcW w:type="dxa" w:w="3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ROLL BACK STEWARD TO &lt;S0|S1|S2&gt;</w:t>
            </w:r>
          </w:p>
        </w:tc>
        <w:tc>
          <w:tcPr>
            <w:tcW w:type="dxa" w:w="6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Restore verified configuration without reviving expired permissions.</w:t>
            </w:r>
          </w:p>
        </w:tc>
      </w:tr>
      <w:tr>
        <w:trPr>
          <w:cantSplit/>
        </w:trPr>
        <w:tc>
          <w:tcPr>
            <w:tcW w:type="dxa" w:w="3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REMOVE STEWARD POWER &lt;PWR-xx&gt;</w:t>
            </w:r>
          </w:p>
        </w:tc>
        <w:tc>
          <w:tcPr>
            <w:tcW w:type="dxa" w:w="6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Preview dependencies, remove one power, and prove no orphan.</w:t>
            </w:r>
          </w:p>
        </w:tc>
      </w:tr>
      <w:tr>
        <w:trPr>
          <w:cantSplit/>
        </w:trPr>
        <w:tc>
          <w:tcPr>
            <w:tcW w:type="dxa" w:w="3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REMOVE STEWARD OVERLAY</w:t>
            </w:r>
          </w:p>
        </w:tc>
        <w:tc>
          <w:tcPr>
            <w:tcW w:type="dxa" w:w="6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Preserve only the approved foundation and verify overlay cleanup.</w:t>
            </w:r>
          </w:p>
        </w:tc>
      </w:tr>
      <w:tr>
        <w:trPr>
          <w:cantSplit/>
        </w:trPr>
        <w:tc>
          <w:tcPr>
            <w:tcW w:type="dxa" w:w="3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FULL UNINSTALL STEWARD</w:t>
            </w:r>
          </w:p>
        </w:tc>
        <w:tc>
          <w:tcPr>
            <w:tcW w:type="dxa" w:w="6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Optionally export owner-approved artifacts; remove components, data, agents, schedules, connectors, and traces; prove cleanup.</w:t>
            </w:r>
          </w:p>
        </w:tc>
      </w:tr>
    </w:tbl>
    <w:p>
      <w:pPr>
        <w:spacing w:before="0" w:after="40"/>
      </w:pPr>
    </w:p>
    <w:p>
      <w:pPr>
        <w:spacing w:before="120" w:after="200" w:line="276" w:lineRule="auto"/>
        <w:shd w:fill="E8F4EE"/>
        <w:pBdr>
          <w:left w:val="single" w:sz="18" w:space="8" w:color="1F6B52"/>
        </w:pBdr>
        <w:ind w:left="180" w:right="120"/>
      </w:pPr>
      <w:r>
        <w:rPr>
          <w:rFonts w:ascii="Calibri" w:hAnsi="Calibri" w:eastAsia="Calibri"/>
          <w:b/>
          <w:color w:val="123047"/>
          <w:sz w:val="22"/>
        </w:rPr>
        <w:t xml:space="preserve">Resume rule: </w:t>
      </w:r>
      <w:r>
        <w:rPr>
          <w:rFonts w:ascii="Calibri" w:hAnsi="Calibri" w:eastAsia="Calibri"/>
          <w:color w:val="1F2937"/>
          <w:sz w:val="22"/>
        </w:rPr>
        <w:t>Hermes revalidates state from the saved receipt, continues only from a verified checkpoint, does not repeat completed mutations, and does not silently restart. If no checkpoint can be verified, it performs read-only inventory and stops.</w:t>
      </w:r>
    </w:p>
    <w:p>
      <w:pPr>
        <w:pStyle w:val="Heading1"/>
        <w:keepNext/>
        <w:pageBreakBefore/>
      </w:pPr>
      <w:r>
        <w:t>First safe use: one low-risk preview, one expiring draft</w:t>
      </w:r>
    </w:p>
    <w:p>
      <w:pPr>
        <w:spacing w:before="0" w:after="240" w:line="288" w:lineRule="auto"/>
      </w:pPr>
      <w:r>
        <w:rPr>
          <w:rFonts w:ascii="Calibri" w:hAnsi="Calibri" w:eastAsia="Calibri"/>
          <w:b/>
          <w:color w:val="123047"/>
          <w:sz w:val="26"/>
        </w:rPr>
        <w:t>Begin only after a clean Activation Report. Use minimum authority metadata, public information, administrator-owned nonsensitive material, or clearly synthetic examples.</w:t>
      </w:r>
    </w:p>
    <w:p>
      <w:pPr>
        <w:keepLines/>
        <w:spacing w:before="100" w:after="160" w:line="264" w:lineRule="auto"/>
        <w:shd w:fill="E8F5F3"/>
        <w:pBdr>
          <w:left w:val="single" w:sz="18" w:space="8" w:color="0B7A75"/>
        </w:pBdr>
        <w:ind w:left="180" w:right="120"/>
      </w:pPr>
      <w:r>
        <w:rPr>
          <w:rFonts w:ascii="Calibri" w:hAnsi="Calibri" w:eastAsia="Calibri"/>
          <w:b/>
          <w:color w:val="123047"/>
          <w:sz w:val="18"/>
        </w:rPr>
        <w:t xml:space="preserve">Ask Hermes: </w:t>
      </w:r>
      <w:r>
        <w:rPr>
          <w:rFonts w:ascii="Calibri" w:hAnsi="Calibri" w:eastAsia="Calibri"/>
          <w:color w:val="1F2937"/>
          <w:sz w:val="18"/>
        </w:rPr>
        <w:t>Open My STEWARD in Private Administrator OS. Use only my minimum professional identity/authority metadata, public information, administrator-owned nonsensitive information or clearly synthetic examples. Show my exact title, entity/site, active hat, authority source/expiry, CHART status, Core Four, seven attention slots, source freshness, all 24 power states, all 10 agent states and permanent Privacy, Pause All, Kill, Correct, Export, Delete, Rollback and Uninstall controls. Do not request PHI, patient data, other-person employee/applicant/practitioner data, sensitive operator employment records, incident/claim/contract/vendor/security/nonpublic-financial content. Do not connect, schedule, send, share, publish, buy, pay, submit, decide, activate or automate. Help me preview one low-risk workflow, create one expiring draft, then accept, revise or delete it and confirm no background work remains.</w:t>
      </w:r>
    </w:p>
    <w:p>
      <w:pPr>
        <w:pStyle w:val="Heading2"/>
        <w:keepNext/>
      </w:pPr>
      <w:r>
        <w:t>A good first ritual</w:t>
      </w:r>
    </w:p>
    <w:p>
      <w:pPr>
        <w:keepNext/>
        <w:spacing w:before="0" w:after="80" w:line="300" w:lineRule="auto"/>
        <w:keepLines/>
        <w:numPr>
          <w:ilvl w:val="0"/>
          <w:numId w:val="13"/>
        </w:numPr>
      </w:pPr>
      <w:r>
        <w:rPr>
          <w:rFonts w:ascii="Calibri" w:hAnsi="Calibri" w:eastAsia="Calibri"/>
          <w:color w:val="1F2937"/>
          <w:sz w:val="22"/>
        </w:rPr>
        <w:t>Verify lane, exact title, entity/site, active hat, authority source/expiry, CHART state, source freshness, power states, agent states, and permanent controls.</w:t>
      </w:r>
    </w:p>
    <w:p>
      <w:pPr>
        <w:keepNext/>
        <w:spacing w:before="0" w:after="80" w:line="300" w:lineRule="auto"/>
        <w:keepLines/>
        <w:numPr>
          <w:ilvl w:val="0"/>
          <w:numId w:val="13"/>
        </w:numPr>
      </w:pPr>
      <w:r>
        <w:rPr>
          <w:rFonts w:ascii="Calibri" w:hAnsi="Calibri" w:eastAsia="Calibri"/>
          <w:color w:val="1F2937"/>
          <w:sz w:val="22"/>
        </w:rPr>
        <w:t>Choose one Core Four launcher and one low-risk workflow using public or synthetic information.</w:t>
      </w:r>
    </w:p>
    <w:p>
      <w:pPr>
        <w:keepNext/>
        <w:spacing w:before="0" w:after="80" w:line="300" w:lineRule="auto"/>
        <w:keepLines/>
        <w:numPr>
          <w:ilvl w:val="0"/>
          <w:numId w:val="13"/>
        </w:numPr>
      </w:pPr>
      <w:r>
        <w:rPr>
          <w:rFonts w:ascii="Calibri" w:hAnsi="Calibri" w:eastAsia="Calibri"/>
          <w:color w:val="1F2937"/>
          <w:sz w:val="22"/>
        </w:rPr>
        <w:t>Create one labeled Proposed — Not Approved artifact with source, assumptions, owner, expiry, correction, export, and delete controls.</w:t>
      </w:r>
    </w:p>
    <w:p>
      <w:pPr>
        <w:keepNext/>
        <w:spacing w:before="0" w:after="80" w:line="300" w:lineRule="auto"/>
        <w:keepLines/>
        <w:numPr>
          <w:ilvl w:val="0"/>
          <w:numId w:val="13"/>
        </w:numPr>
      </w:pPr>
      <w:r>
        <w:rPr>
          <w:rFonts w:ascii="Calibri" w:hAnsi="Calibri" w:eastAsia="Calibri"/>
          <w:color w:val="1F2937"/>
          <w:sz w:val="22"/>
        </w:rPr>
        <w:t>Have the named human accept, revise, defer, reject, or delete it; reconcile anything official only through the authorized system and person.</w:t>
      </w:r>
    </w:p>
    <w:p>
      <w:pPr>
        <w:spacing w:before="0" w:after="80" w:line="300" w:lineRule="auto"/>
        <w:keepLines/>
        <w:numPr>
          <w:ilvl w:val="0"/>
          <w:numId w:val="13"/>
        </w:numPr>
      </w:pPr>
      <w:r>
        <w:rPr>
          <w:rFonts w:ascii="Calibri" w:hAnsi="Calibri" w:eastAsia="Calibri"/>
          <w:color w:val="1F2937"/>
          <w:sz w:val="22"/>
        </w:rPr>
        <w:t>Confirm that no connector, schedule, share, write, tool, background task, power, or agent remains active.</w:t>
      </w:r>
    </w:p>
    <w:p>
      <w:pPr>
        <w:spacing w:before="120" w:after="200" w:line="276" w:lineRule="auto"/>
        <w:shd w:fill="E8F4EE"/>
        <w:pBdr>
          <w:left w:val="single" w:sz="18" w:space="8" w:color="1F6B52"/>
        </w:pBdr>
        <w:ind w:left="180" w:right="120"/>
      </w:pPr>
      <w:r>
        <w:rPr>
          <w:rFonts w:ascii="Calibri" w:hAnsi="Calibri" w:eastAsia="Calibri"/>
          <w:b/>
          <w:color w:val="123047"/>
          <w:sz w:val="22"/>
        </w:rPr>
        <w:t xml:space="preserve">Good first topics: </w:t>
      </w:r>
      <w:r>
        <w:rPr>
          <w:rFonts w:ascii="Calibri" w:hAnsi="Calibri" w:eastAsia="Calibri"/>
          <w:color w:val="1F2937"/>
          <w:sz w:val="22"/>
        </w:rPr>
        <w:t>A source-freshness check, synthetic decision brief, public vendor-question list, aggregate-measure definition review, accessibility checklist, meeting-preparation draft, or protected-life commitment in a personal isolated store.</w:t>
      </w:r>
    </w:p>
    <w:p>
      <w:pPr>
        <w:pStyle w:val="Heading1"/>
        <w:keepNext/>
        <w:pageBreakBefore/>
      </w:pPr>
      <w:r>
        <w:t>First agent: wings with a narrow charter and a real kill switch</w:t>
      </w:r>
    </w:p>
    <w:p>
      <w:pPr>
        <w:keepLines/>
        <w:spacing w:before="100" w:after="160" w:line="264" w:lineRule="auto"/>
        <w:shd w:fill="F4EDF6"/>
        <w:pBdr>
          <w:left w:val="single" w:sz="18" w:space="8" w:color="73527C"/>
        </w:pBdr>
        <w:ind w:left="180" w:right="120"/>
      </w:pPr>
      <w:r>
        <w:rPr>
          <w:rFonts w:ascii="Calibri" w:hAnsi="Calibri" w:eastAsia="Calibri"/>
          <w:b/>
          <w:color w:val="123047"/>
          <w:sz w:val="18"/>
        </w:rPr>
        <w:t xml:space="preserve">Preview—do not run: </w:t>
      </w:r>
      <w:r>
        <w:rPr>
          <w:rFonts w:ascii="Calibri" w:hAnsi="Calibri" w:eastAsia="Calibri"/>
          <w:color w:val="1F2937"/>
          <w:sz w:val="18"/>
        </w:rPr>
        <w:t>Open ORBIT and preview AGT-01 Source &amp; Requirement Verifier using public sources and a clearly synthetic question. Keep install state PERM-P0 Disabled. Show objective, owner, non-goals, proposed maximum PERM-P1, allowed/prohibited data, sources, no-tool/no-write boundary, normal/failure/missing-source/prompt-injection/bias/security tests, human review, cost/time cap, expiry, kill, rollback, purge and retirement. Do not activate or persist. Wait for my exact one-run approval.</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200"/>
        <w:gridCol w:w="3750"/>
        <w:gridCol w:w="4410"/>
      </w:tblGrid>
      <w:tr>
        <w:trPr>
          <w:cantSplit/>
          <w:tblHeader w:val="true"/>
          <w:cantSplit/>
        </w:trPr>
        <w:tc>
          <w:tcPr>
            <w:tcW w:type="dxa" w:w="1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Level</w:t>
            </w:r>
          </w:p>
        </w:tc>
        <w:tc>
          <w:tcPr>
            <w:tcW w:type="dxa" w:w="37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Meaning</w:t>
            </w:r>
          </w:p>
        </w:tc>
        <w:tc>
          <w:tcPr>
            <w:tcW w:type="dxa" w:w="44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Default boundary</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PERM-P0</w:t>
            </w:r>
          </w:p>
        </w:tc>
        <w:tc>
          <w:tcPr>
            <w:tcW w:type="dxa" w:w="37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Disabled</w:t>
            </w:r>
          </w:p>
        </w:tc>
        <w:tc>
          <w:tcPr>
            <w:tcW w:type="dxa" w:w="44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execution</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PERM-P1</w:t>
            </w:r>
          </w:p>
        </w:tc>
        <w:tc>
          <w:tcPr>
            <w:tcW w:type="dxa" w:w="37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Private nonsensitive/public/synthetic draft</w:t>
            </w:r>
          </w:p>
        </w:tc>
        <w:tc>
          <w:tcPr>
            <w:tcW w:type="dxa" w:w="44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tools, actions, sensitive data, or persistence</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PERM-P2</w:t>
            </w:r>
          </w:p>
        </w:tc>
        <w:tc>
          <w:tcPr>
            <w:tcW w:type="dxa" w:w="37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One exact approved owner-controlled source</w:t>
            </w:r>
          </w:p>
        </w:tc>
        <w:tc>
          <w:tcPr>
            <w:tcW w:type="dxa" w:w="44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Read-only draft; no share or write</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PERM-P3</w:t>
            </w:r>
          </w:p>
        </w:tc>
        <w:tc>
          <w:tcPr>
            <w:tcW w:type="dxa" w:w="37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One institution-approved partition</w:t>
            </w:r>
          </w:p>
        </w:tc>
        <w:tc>
          <w:tcPr>
            <w:tcW w:type="dxa" w:w="44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Read or sandbox for one exact purpose and owner</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PERM-P4</w:t>
            </w:r>
          </w:p>
        </w:tc>
        <w:tc>
          <w:tcPr>
            <w:tcW w:type="dxa" w:w="37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One-run staged nonbinding administrative draft</w:t>
            </w:r>
          </w:p>
        </w:tc>
        <w:tc>
          <w:tcPr>
            <w:tcW w:type="dxa" w:w="44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One approved non-authoritative destination; human release required</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PERM-P5</w:t>
            </w:r>
          </w:p>
        </w:tc>
        <w:tc>
          <w:tcPr>
            <w:tcW w:type="dxa" w:w="37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Prohibited</w:t>
            </w:r>
          </w:p>
        </w:tc>
        <w:tc>
          <w:tcPr>
            <w:tcW w:type="dxa" w:w="44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High-impact, production, self-expanding, hidden, clinical, employment, financial, legal, security, or emergency action</w:t>
            </w:r>
          </w:p>
        </w:tc>
      </w:tr>
    </w:tbl>
    <w:p>
      <w:pPr>
        <w:spacing w:before="0" w:after="40"/>
      </w:pPr>
    </w:p>
    <w:p>
      <w:pPr>
        <w:keepNext/>
        <w:spacing w:before="0" w:after="80" w:line="300" w:lineRule="auto"/>
        <w:keepLines/>
        <w:numPr>
          <w:ilvl w:val="0"/>
          <w:numId w:val="14"/>
        </w:numPr>
      </w:pPr>
      <w:r>
        <w:rPr>
          <w:rFonts w:ascii="Calibri" w:hAnsi="Calibri" w:eastAsia="Calibri"/>
          <w:color w:val="1F2937"/>
          <w:sz w:val="22"/>
        </w:rPr>
        <w:t>Register one AI use case with PWR-22 and compare a non-AI alternative.</w:t>
      </w:r>
    </w:p>
    <w:p>
      <w:pPr>
        <w:keepNext/>
        <w:spacing w:before="0" w:after="80" w:line="300" w:lineRule="auto"/>
        <w:keepLines/>
        <w:numPr>
          <w:ilvl w:val="0"/>
          <w:numId w:val="14"/>
        </w:numPr>
      </w:pPr>
      <w:r>
        <w:rPr>
          <w:rFonts w:ascii="Calibri" w:hAnsi="Calibri" w:eastAsia="Calibri"/>
          <w:color w:val="1F2937"/>
          <w:sz w:val="22"/>
        </w:rPr>
        <w:t>Charter one agent with PWR-23; freeze version, permissions, data, tools, destinations, limits, tests, fallback, expiry, kill, rollback, purge, and retirement.</w:t>
      </w:r>
    </w:p>
    <w:p>
      <w:pPr>
        <w:keepNext/>
        <w:spacing w:before="0" w:after="80" w:line="300" w:lineRule="auto"/>
        <w:keepLines/>
        <w:numPr>
          <w:ilvl w:val="0"/>
          <w:numId w:val="14"/>
        </w:numPr>
      </w:pPr>
      <w:r>
        <w:rPr>
          <w:rFonts w:ascii="Calibri" w:hAnsi="Calibri" w:eastAsia="Calibri"/>
          <w:color w:val="1F2937"/>
          <w:sz w:val="22"/>
        </w:rPr>
        <w:t>Test in a synthetic sandbox with an independent reviewer; permit at most one bounded run.</w:t>
      </w:r>
    </w:p>
    <w:p>
      <w:pPr>
        <w:spacing w:before="0" w:after="80" w:line="300" w:lineRule="auto"/>
        <w:keepLines/>
        <w:numPr>
          <w:ilvl w:val="0"/>
          <w:numId w:val="14"/>
        </w:numPr>
      </w:pPr>
      <w:r>
        <w:rPr>
          <w:rFonts w:ascii="Calibri" w:hAnsi="Calibri" w:eastAsia="Calibri"/>
          <w:color w:val="1F2937"/>
          <w:sz w:val="22"/>
        </w:rPr>
        <w:t>Return to Disabled, inspect the PWR-24 receipt, and retain, revise, kill, or retire. Never begin with a multi-agent chain.</w:t>
      </w:r>
    </w:p>
    <w:p>
      <w:pPr>
        <w:pStyle w:val="Heading1"/>
        <w:keepNext/>
        <w:pageBreakBefore/>
      </w:pPr>
      <w:r>
        <w:t>Thirty cards and templates — practical working forms, not approvals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800"/>
        <w:gridCol w:w="3880"/>
        <w:gridCol w:w="800"/>
        <w:gridCol w:w="3880"/>
      </w:tblGrid>
      <w:tr>
        <w:trPr>
          <w:cantSplit/>
          <w:tblHeader w:val="true"/>
          <w:cantSplit/>
        </w:trPr>
        <w:tc>
          <w:tcPr>
            <w:tcW w:type="dxa" w:w="8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ID</w:t>
            </w:r>
          </w:p>
        </w:tc>
        <w:tc>
          <w:tcPr>
            <w:tcW w:type="dxa" w:w="388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Template</w:t>
            </w:r>
          </w:p>
        </w:tc>
        <w:tc>
          <w:tcPr>
            <w:tcW w:type="dxa" w:w="8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ID</w:t>
            </w:r>
          </w:p>
        </w:tc>
        <w:tc>
          <w:tcPr>
            <w:tcW w:type="dxa" w:w="388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Template</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TPL-01</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Administrator True North &amp; Protected-Life Promise</w:t>
            </w:r>
          </w:p>
        </w:tc>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TPL-16</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Asset, Space, Supply &amp; Sustainability Stewardship Map</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TPL-02</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Administrator Identity, Entity, Site, Hat &amp; Delegated-Authority Card</w:t>
            </w:r>
          </w:p>
        </w:tc>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TPL-17</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Workforce Capacity, Workload &amp; Skill-Mix Evidence Brief</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TPL-03</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Source, Requirement, Policy &amp; Freshness Ledger</w:t>
            </w:r>
          </w:p>
        </w:tc>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TPL-18</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Psychological Safety, Listening Themes &amp; Response Commitments</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TPL-04</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CHART Authority and Action Gate Receipt</w:t>
            </w:r>
          </w:p>
        </w:tc>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TPL-19</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Change Impact, Communication, Learning &amp; Adoption Plan</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TPL-05</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Strategy-on-a-Page &amp; Ninety-Day Alignment Card</w:t>
            </w:r>
          </w:p>
        </w:tc>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TPL-20</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Leadership, Delegation, Succession &amp; Growth Map</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TPL-06</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ALIGN Executive Decision, Options &amp; Assumptions Brief</w:t>
            </w:r>
          </w:p>
        </w:tc>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TPL-21</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Quality, Safety, Accreditation &amp; Regulatory Readiness Crosswalk</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TPL-07</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Portfolio, Dependency, Capacity &amp; Benefit Gate</w:t>
            </w:r>
          </w:p>
        </w:tc>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TPL-22</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Policy, Control, Audit Evidence &amp; Exception Matrix</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TPL-08</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Board or Committee Brief, Conflict Prompts &amp; Action Register</w:t>
            </w:r>
          </w:p>
        </w:tc>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TPL-23</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Equity, Accessibility, Patient/Family &amp; Community Impact Review</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TPL-09</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Access, Demand, Capacity &amp; Equity Brief</w:t>
            </w:r>
          </w:p>
        </w:tc>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TPL-24</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Synthetic Emergency, Continuity &amp; Downtime Exercise Plan</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TPL-10</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Flow, Bottleneck, Handoff &amp; PDSA Map</w:t>
            </w:r>
          </w:p>
        </w:tc>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TPL-25</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Privacy, Cybersecurity, Data-Flow &amp; Third-Party Risk Intake</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TPL-11</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Daily Huddle, Seven Signals &amp; Escalation Board</w:t>
            </w:r>
          </w:p>
        </w:tc>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TPL-26</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Incident, Issue, Corrective-Action &amp; Official-System Boundary Card</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TPL-12</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Hospital, Clinic, Service or Multi-Site Operating-Model Canvas</w:t>
            </w:r>
          </w:p>
        </w:tc>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TPL-27</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Digital &amp; AI Use-Case Intake, Stage Gate &amp; Retirement Plan</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TPL-13</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Budget, Forecast, Variance &amp; Sensitivity Scenario</w:t>
            </w:r>
          </w:p>
        </w:tc>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TPL-28</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ORBIT Agent Charter, Permission &amp; Human-Handoff Envelope</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TPL-14</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Aggregate Revenue-Cycle, Denial &amp; Contract-Question Brief</w:t>
            </w:r>
          </w:p>
        </w:tc>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TPL-29</w:t>
            </w:r>
          </w:p>
        </w:tc>
        <w:tc>
          <w:tcPr>
            <w:tcW w:type="dxa" w:w="3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Agent Test, Run, Human Decision, Incident &amp; Retirement Receipt</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TPL-15</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Procurement, Vendor, Business Case &amp; Exit-Risk Matrix</w:t>
            </w:r>
          </w:p>
        </w:tc>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TPL-30</w:t>
            </w:r>
          </w:p>
        </w:tc>
        <w:tc>
          <w:tcPr>
            <w:tcW w:type="dxa" w:w="3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Seven-Day Launch &amp; Ninety-Day STEWARD Development Plan</w:t>
            </w:r>
          </w:p>
        </w:tc>
      </w:tr>
    </w:tbl>
    <w:p>
      <w:pPr>
        <w:spacing w:before="0" w:after="40"/>
      </w:pP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Template rule: </w:t>
      </w:r>
      <w:r>
        <w:rPr>
          <w:rFonts w:ascii="Calibri" w:hAnsi="Calibri" w:eastAsia="Calibri"/>
          <w:color w:val="1F2937"/>
          <w:sz w:val="22"/>
        </w:rPr>
        <w:t>Each form carries owner, exact title and active hat, entity/site/service, context/partition, allowed and prohibited data, source/version/status, facts versus interpretation, human decision owner, artifact status, creation/update/expiry, retention, correction, export, and deletion. Unknown is safer than invented.</w:t>
      </w:r>
    </w:p>
    <w:p>
      <w:pPr>
        <w:pStyle w:val="Heading1"/>
        <w:keepNext/>
        <w:pageBreakBefore/>
      </w:pPr>
      <w:r>
        <w:t>Setting recipes — enterprise, hospital, clinic, and small practice</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900"/>
        <w:gridCol w:w="3900"/>
        <w:gridCol w:w="3560"/>
      </w:tblGrid>
      <w:tr>
        <w:trPr>
          <w:cantSplit/>
          <w:tblHeader w:val="true"/>
          <w:cantSplit/>
        </w:trPr>
        <w:tc>
          <w:tcPr>
            <w:tcW w:type="dxa" w:w="1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Setting</w:t>
            </w:r>
          </w:p>
        </w:tc>
        <w:tc>
          <w:tcPr>
            <w:tcW w:type="dxa" w:w="3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Start with</w:t>
            </w:r>
          </w:p>
        </w:tc>
        <w:tc>
          <w:tcPr>
            <w:tcW w:type="dxa" w:w="35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Critical guardrail</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Health system / enterprise</w:t>
            </w:r>
          </w:p>
        </w:tc>
        <w:tc>
          <w:tcPr>
            <w:tcW w:type="dxa" w:w="3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Verify board/executive delegation, legal entities, and central-versus-local rights. Preview PWR-01–04, 09, 16–18, 22.</w:t>
            </w:r>
          </w:p>
        </w:tc>
        <w:tc>
          <w:tcPr>
            <w:tcW w:type="dxa" w:w="3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Keep legal-entity partitions separate; a system-wide title does not erase local governance.</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Hospital / facility / service line</w:t>
            </w:r>
          </w:p>
        </w:tc>
        <w:tc>
          <w:tcPr>
            <w:tcW w:type="dxa" w:w="3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Verify clinical, medical staff, nursing, operations, finance, quality, and facility owners. Preview PWR-05–09, 12, 16, 19–21.</w:t>
            </w:r>
          </w:p>
        </w:tc>
        <w:tc>
          <w:tcPr>
            <w:tcW w:type="dxa" w:w="3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Approved aggregates only; no bed, discharge, transfer, staffing, care, or emergency command.</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Clinic / ambulatory / multi-site</w:t>
            </w:r>
          </w:p>
        </w:tc>
        <w:tc>
          <w:tcPr>
            <w:tcW w:type="dxa" w:w="3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Verify ownership, sites, clinical leadership, payer/contract, scheduling, and revenue-cycle owners. Preview PWR-05–08, 10–14, 16–18, 20.</w:t>
            </w:r>
          </w:p>
        </w:tc>
        <w:tc>
          <w:tcPr>
            <w:tcW w:type="dxa" w:w="3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Scheduling, referrals, claims, coverage, and contracts stay in official human workflows.</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Independent / small practice</w:t>
            </w:r>
          </w:p>
        </w:tc>
        <w:tc>
          <w:tcPr>
            <w:tcW w:type="dxa" w:w="3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Use Minimum Mode: one North Star, access/flow question, resource scenario, source queue, and protected-life commitment.</w:t>
            </w:r>
          </w:p>
        </w:tc>
        <w:tc>
          <w:tcPr>
            <w:tcW w:type="dxa" w:w="3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Limited staff is not permission to combine personal, clinical, payroll, claim, bank, credential, or contract data.</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Academic / public / nonprofit / community</w:t>
            </w:r>
          </w:p>
        </w:tc>
        <w:tc>
          <w:tcPr>
            <w:tcW w:type="dxa" w:w="3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Record governance, public-record, grant, research, teaching, labor, civil-rights, and community owners; use PWR-18 early.</w:t>
            </w:r>
          </w:p>
        </w:tc>
        <w:tc>
          <w:tcPr>
            <w:tcW w:type="dxa" w:w="3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Ownership or tax status does not determine all requirements; qualified humans verify applicability.</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Recipe rule: </w:t>
      </w:r>
      <w:r>
        <w:rPr>
          <w:rFonts w:ascii="Calibri" w:hAnsi="Calibri" w:eastAsia="Calibri"/>
          <w:color w:val="1F2937"/>
          <w:sz w:val="22"/>
        </w:rPr>
        <w:t>Recipes choose views and questions. They do not confer authority, activate a power, authorize data, or prove a regulatory category.</w:t>
      </w:r>
    </w:p>
    <w:p>
      <w:pPr>
        <w:pStyle w:val="Heading1"/>
        <w:keepNext/>
        <w:pageBreakBefore/>
      </w:pPr>
      <w:r>
        <w:t>Special-context recipes — rural, safety-net, tribal, and ownership gates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950"/>
        <w:gridCol w:w="4550"/>
        <w:gridCol w:w="2860"/>
      </w:tblGrid>
      <w:tr>
        <w:trPr>
          <w:cantSplit/>
          <w:tblHeader w:val="true"/>
          <w:cantSplit/>
        </w:trPr>
        <w:tc>
          <w:tcPr>
            <w:tcW w:type="dxa" w:w="19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Context</w:t>
            </w:r>
          </w:p>
        </w:tc>
        <w:tc>
          <w:tcPr>
            <w:tcW w:type="dxa" w:w="45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Administrator setup</w:t>
            </w:r>
          </w:p>
        </w:tc>
        <w:tc>
          <w:tcPr>
            <w:tcW w:type="dxa" w:w="28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Never infer</w:t>
            </w:r>
          </w:p>
        </w:tc>
      </w:tr>
      <w:tr>
        <w:trPr>
          <w:cantSplit/>
        </w:trPr>
        <w:tc>
          <w:tcPr>
            <w:tcW w:type="dxa" w:w="19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Critical access / rural / limited redundancy</w:t>
            </w:r>
          </w:p>
        </w:tc>
        <w:tc>
          <w:tcPr>
            <w:tcW w:type="dxa" w:w="45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Record exact provider/facility type, transfer/transport dependencies, after-hours coverage, utilities/telecom, supply lead times, mutual aid, and current federal/state/local sources. Preview PWR-05–08, 11–12, 19–21.</w:t>
            </w:r>
          </w:p>
        </w:tc>
        <w:tc>
          <w:tcPr>
            <w:tcW w:type="dxa" w:w="2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 rural label does not prove reimbursement, licensure, CoP, CAH, or other regulatory status.</w:t>
            </w:r>
          </w:p>
        </w:tc>
      </w:tr>
      <w:tr>
        <w:trPr>
          <w:cantSplit/>
        </w:trPr>
        <w:tc>
          <w:tcPr>
            <w:tcW w:type="dxa" w:w="19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FQHC / Health Center Program / RHC / safety net</w:t>
            </w:r>
          </w:p>
        </w:tc>
        <w:tc>
          <w:tcPr>
            <w:tcW w:type="dxa" w:w="45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Keep each designation separate; verify scope of project, board duties, service area/population, sliding-fee or assistance rules, contracts, reporting, and current HRSA/CMS sources.</w:t>
            </w:r>
          </w:p>
        </w:tc>
        <w:tc>
          <w:tcPr>
            <w:tcW w:type="dxa" w:w="2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FQHC, look-alike, RHC, free clinic, and other safety-net labels are not equivalent.</w:t>
            </w:r>
          </w:p>
        </w:tc>
      </w:tr>
      <w:tr>
        <w:trPr>
          <w:cantSplit/>
        </w:trPr>
        <w:tc>
          <w:tcPr>
            <w:tcW w:type="dxa" w:w="19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Tribal / IHS / sovereign</w:t>
            </w:r>
          </w:p>
        </w:tc>
        <w:tc>
          <w:tcPr>
            <w:tcW w:type="dxa" w:w="45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Begin with sovereignty, tribal governance, compact/contract, data governance, and authorized community leadership; qualified humans determine applicable sources.</w:t>
            </w:r>
          </w:p>
        </w:tc>
        <w:tc>
          <w:tcPr>
            <w:tcW w:type="dxa" w:w="2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Another health system's practice does not authorize community engagement, data use, or partnership.</w:t>
            </w:r>
          </w:p>
        </w:tc>
      </w:tr>
      <w:tr>
        <w:trPr>
          <w:cantSplit/>
        </w:trPr>
        <w:tc>
          <w:tcPr>
            <w:tcW w:type="dxa" w:w="19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Ownership / capital structure</w:t>
            </w:r>
          </w:p>
        </w:tc>
        <w:tc>
          <w:tcPr>
            <w:tcW w:type="dxa" w:w="45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Record exact public/government, nonprofit, for-profit/private, publicly traded, joint venture, or management-agreement entity and owner.</w:t>
            </w:r>
          </w:p>
        </w:tc>
        <w:tc>
          <w:tcPr>
            <w:tcW w:type="dxa" w:w="2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AI does not decide public-record exemptions, tax, fiduciary, securities, antitrust, corporate-practice, conflict, or reserved-power questions.</w:t>
            </w:r>
          </w:p>
        </w:tc>
      </w:tr>
      <w:tr>
        <w:trPr>
          <w:cantSplit/>
        </w:trPr>
        <w:tc>
          <w:tcPr>
            <w:tcW w:type="dxa" w:w="19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Dual clinical/administrative hats</w:t>
            </w:r>
          </w:p>
        </w:tc>
        <w:tc>
          <w:tcPr>
            <w:tcW w:type="dxa" w:w="45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Choose one hat per workflow; split cross-hat work and connect it through a named human handoff.</w:t>
            </w:r>
          </w:p>
        </w:tc>
        <w:tc>
          <w:tcPr>
            <w:tcW w:type="dxa" w:w="2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Clinical credentials do not grant administrative authority; administrative titles do not grant clinical authority.</w:t>
            </w:r>
          </w:p>
        </w:tc>
      </w:tr>
    </w:tbl>
    <w:p>
      <w:pPr>
        <w:spacing w:before="0" w:after="40"/>
      </w:pPr>
    </w:p>
    <w:p>
      <w:pPr>
        <w:pStyle w:val="Heading1"/>
        <w:keepNext/>
        <w:pageBreakBefore/>
      </w:pPr>
      <w:r>
        <w:t>Aggregate-only and no-shadow-system boundaries</w:t>
      </w:r>
    </w:p>
    <w:p>
      <w:pPr>
        <w:spacing w:before="0" w:after="240" w:line="288" w:lineRule="auto"/>
      </w:pPr>
      <w:r>
        <w:rPr>
          <w:rFonts w:ascii="Calibri" w:hAnsi="Calibri" w:eastAsia="Calibri"/>
          <w:b/>
          <w:color w:val="123047"/>
          <w:sz w:val="26"/>
        </w:rPr>
        <w:t>The base Complete Edition stays aggregate- and process-level—even in an institution-approved workspace. Patient-, event-, claim-, and individual-workforce modules require a separate governed product and release suite.</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4700"/>
        <w:gridCol w:w="4660"/>
      </w:tblGrid>
      <w:tr>
        <w:trPr>
          <w:cantSplit/>
          <w:tblHeader w:val="true"/>
          <w:cantSplit/>
        </w:trPr>
        <w:tc>
          <w:tcPr>
            <w:tcW w:type="dxa" w:w="47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STEWARD may prepare</w:t>
            </w:r>
          </w:p>
        </w:tc>
        <w:tc>
          <w:tcPr>
            <w:tcW w:type="dxa" w:w="46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STEWARD must not become</w:t>
            </w:r>
          </w:p>
        </w:tc>
      </w:tr>
      <w:tr>
        <w:trPr>
          <w:cantSplit/>
        </w:trPr>
        <w:tc>
          <w:tcPr>
            <w:tcW w:type="dxa" w:w="4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Aggregate access, flow, demand, capacity, quality, workforce, finance, vendor, and experience questions</w:t>
            </w:r>
          </w:p>
        </w:tc>
        <w:tc>
          <w:tcPr>
            <w:tcW w:type="dxa" w:w="4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Patient tracker, bed board, staffing engine, claim workbench, HR profile, financial ledger, or live operations center</w:t>
            </w:r>
          </w:p>
        </w:tc>
      </w:tr>
      <w:tr>
        <w:trPr>
          <w:cantSplit/>
        </w:trPr>
        <w:tc>
          <w:tcPr>
            <w:tcW w:type="dxa" w:w="4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Source-linked decision, policy, control, readiness, change, and governance drafts</w:t>
            </w:r>
          </w:p>
        </w:tc>
        <w:tc>
          <w:tcPr>
            <w:tcW w:type="dxa" w:w="46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Legal/compliance/accreditation authority, official policy, board minute, audit opinion, attestation, or regulator response</w:t>
            </w:r>
          </w:p>
        </w:tc>
      </w:tr>
      <w:tr>
        <w:trPr>
          <w:cantSplit/>
        </w:trPr>
        <w:tc>
          <w:tcPr>
            <w:tcW w:type="dxa" w:w="4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Synthetic exercises and process maps</w:t>
            </w:r>
          </w:p>
        </w:tc>
        <w:tc>
          <w:tcPr>
            <w:tcW w:type="dxa" w:w="4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Emergency command, real-time monitoring, incident system, clinical decision, handoff, or patient communication</w:t>
            </w:r>
          </w:p>
        </w:tc>
      </w:tr>
      <w:tr>
        <w:trPr>
          <w:cantSplit/>
        </w:trPr>
        <w:tc>
          <w:tcPr>
            <w:tcW w:type="dxa" w:w="4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One-run nonbinding administrative draft to an approved non-authoritative destination</w:t>
            </w:r>
          </w:p>
        </w:tc>
        <w:tc>
          <w:tcPr>
            <w:tcW w:type="dxa" w:w="46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Automatic send, publish, order, schedule, pay, buy, submit, sign, credential, hire, discipline, allocate, or production change</w:t>
            </w:r>
          </w:p>
        </w:tc>
      </w:tr>
    </w:tbl>
    <w:p>
      <w:pPr>
        <w:spacing w:before="0" w:after="40"/>
      </w:pPr>
    </w:p>
    <w:p>
      <w:pPr>
        <w:pStyle w:val="Heading2"/>
        <w:keepNext/>
      </w:pPr>
      <w:r>
        <w:t>Private Administrator OS rejects</w:t>
      </w:r>
    </w:p>
    <w:p>
      <w:pPr>
        <w:spacing w:before="0" w:after="80" w:line="300" w:lineRule="auto"/>
        <w:keepNext/>
        <w:keepLines/>
        <w:numPr>
          <w:ilvl w:val="0"/>
          <w:numId w:val="10"/>
        </w:numPr>
      </w:pPr>
      <w:r>
        <w:rPr>
          <w:rFonts w:ascii="Calibri" w:hAnsi="Calibri" w:eastAsia="Calibri"/>
          <w:color w:val="1F2937"/>
          <w:sz w:val="22"/>
        </w:rPr>
        <w:t>PHI and patient data; real patient, incident, claim, or event narratives; other-person employee/applicant/practitioner data; sensitive operator employment records.</w:t>
      </w:r>
    </w:p>
    <w:p>
      <w:pPr>
        <w:spacing w:before="0" w:after="80" w:line="300" w:lineRule="auto"/>
        <w:keepNext/>
        <w:keepLines/>
        <w:numPr>
          <w:ilvl w:val="0"/>
          <w:numId w:val="10"/>
        </w:numPr>
      </w:pPr>
      <w:r>
        <w:rPr>
          <w:rFonts w:ascii="Calibri" w:hAnsi="Calibri" w:eastAsia="Calibri"/>
          <w:color w:val="1F2937"/>
          <w:sz w:val="22"/>
        </w:rPr>
        <w:t>Contracts, vendor-confidential content, security-sensitive information, secrets/credentials, and nonpublic financial data.</w:t>
      </w:r>
    </w:p>
    <w:p>
      <w:pPr>
        <w:spacing w:before="0" w:after="80" w:line="300" w:lineRule="auto"/>
        <w:keepNext/>
        <w:keepLines/>
        <w:numPr>
          <w:ilvl w:val="0"/>
          <w:numId w:val="10"/>
        </w:numPr>
      </w:pPr>
      <w:r>
        <w:rPr>
          <w:rFonts w:ascii="Calibri" w:hAnsi="Calibri" w:eastAsia="Calibri"/>
          <w:color w:val="1F2937"/>
          <w:sz w:val="22"/>
        </w:rPr>
        <w:t>Self-redacted real data presented as de-identified; approved de-identification requires an institution-approved method and process.</w:t>
      </w:r>
    </w:p>
    <w:p>
      <w:pPr>
        <w:spacing w:before="0" w:after="80" w:line="300" w:lineRule="auto"/>
        <w:keepLines/>
        <w:numPr>
          <w:ilvl w:val="0"/>
          <w:numId w:val="10"/>
        </w:numPr>
      </w:pPr>
      <w:r>
        <w:rPr>
          <w:rFonts w:ascii="Calibri" w:hAnsi="Calibri" w:eastAsia="Calibri"/>
          <w:color w:val="1F2937"/>
          <w:sz w:val="22"/>
        </w:rPr>
        <w:t>Hidden scoring, surveillance, protected-class inference, small-cell exposure, retaliation prediction, and AI-only personnel or access decisions.</w:t>
      </w: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Record truth: </w:t>
      </w:r>
      <w:r>
        <w:rPr>
          <w:rFonts w:ascii="Calibri" w:hAnsi="Calibri" w:eastAsia="Calibri"/>
          <w:color w:val="1F2937"/>
          <w:sz w:val="22"/>
        </w:rPr>
        <w:t>A draft is not an official record. A message or AI status is not human acknowledgment. STEWARD does not write to an EHR, HRIS, claims, finance, incident, board, legal, security, procurement, or emergency system in the base product.</w:t>
      </w:r>
    </w:p>
    <w:p>
      <w:pPr>
        <w:pStyle w:val="Heading1"/>
        <w:keepNext/>
        <w:pageBreakBefore/>
      </w:pPr>
      <w:r>
        <w:t>Source Watch — current highlights and cautions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500"/>
        <w:gridCol w:w="3430"/>
        <w:gridCol w:w="3430"/>
      </w:tblGrid>
      <w:tr>
        <w:trPr>
          <w:cantSplit/>
          <w:tblHeader w:val="true"/>
          <w:cantSplit/>
        </w:trPr>
        <w:tc>
          <w:tcPr>
            <w:tcW w:type="dxa" w:w="25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Official source / status</w:t>
            </w:r>
          </w:p>
        </w:tc>
        <w:tc>
          <w:tcPr>
            <w:tcW w:type="dxa" w:w="343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Administrator use</w:t>
            </w:r>
          </w:p>
        </w:tc>
        <w:tc>
          <w:tcPr>
            <w:tcW w:type="dxa" w:w="343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5"/>
              </w:rPr>
              <w:t>Current caution</w:t>
            </w:r>
          </w:p>
        </w:tc>
      </w:tr>
      <w:tr>
        <w:trPr>
          <w:cantSplit/>
        </w:trPr>
        <w:tc>
          <w:tcPr>
            <w:tcW w:type="dxa" w:w="2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HHS HIPAA Security Rule + Dec. 2024 NPRM</w:t>
            </w:r>
          </w:p>
        </w:tc>
        <w:tc>
          <w:tcPr>
            <w:tcW w:type="dxa" w:w="34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Put ePHI systems inside current risk analysis and safeguards; monitor modernization.</w:t>
            </w:r>
          </w:p>
        </w:tc>
        <w:tc>
          <w:tcPr>
            <w:tcW w:type="dxa" w:w="34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The NPRM is proposed. The current Security Rule remains in effect until a final rule becomes effective.</w:t>
            </w:r>
          </w:p>
        </w:tc>
      </w:tr>
      <w:tr>
        <w:trPr>
          <w:cantSplit/>
        </w:trPr>
        <w:tc>
          <w:tcPr>
            <w:tcW w:type="dxa" w:w="2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CMS 42 C.F.R. Part 482</w:t>
            </w:r>
          </w:p>
        </w:tc>
        <w:tc>
          <w:tcPr>
            <w:tcW w:type="dxa" w:w="34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Connect hospital AI governance to governing-body oversight, QAPI, patient rights, contracts, and record controls.</w:t>
            </w:r>
          </w:p>
        </w:tc>
        <w:tc>
          <w:tcPr>
            <w:tcW w:type="dxa" w:w="34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Applies to participating hospitals; clinics and other provider types have different rules. AI logs are not automatically the official record.</w:t>
            </w:r>
          </w:p>
        </w:tc>
      </w:tr>
      <w:tr>
        <w:trPr>
          <w:cantSplit/>
        </w:trPr>
        <w:tc>
          <w:tcPr>
            <w:tcW w:type="dxa" w:w="2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CMS-0057-F prior authorization</w:t>
            </w:r>
          </w:p>
        </w:tc>
        <w:tc>
          <w:tcPr>
            <w:tcW w:type="dxa" w:w="34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Roadmap payer interfaces, workflow, vendor/data readiness, and CY 2027 reporting where applicable.</w:t>
            </w:r>
          </w:p>
        </w:tc>
        <w:tc>
          <w:tcPr>
            <w:tcW w:type="dxa" w:w="34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Most API duties fall on specified payers—not every hospital. Dates, programs, and exclusions differ.</w:t>
            </w:r>
          </w:p>
        </w:tc>
      </w:tr>
      <w:tr>
        <w:trPr>
          <w:cantSplit/>
        </w:trPr>
        <w:tc>
          <w:tcPr>
            <w:tcW w:type="dxa" w:w="2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ASTP/ONC § 170.315(b)(11)</w:t>
            </w:r>
          </w:p>
        </w:tc>
        <w:tc>
          <w:tcPr>
            <w:tcW w:type="dxa" w:w="34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Use predictive-DSI source attributes as procurement, inventory, fairness, validation, and monitoring questions.</w:t>
            </w:r>
          </w:p>
        </w:tc>
        <w:tc>
          <w:tcPr>
            <w:tcW w:type="dxa" w:w="34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Actor-specific certification criterion—not a blanket mandate or safety approval for every AI tool.</w:t>
            </w:r>
          </w:p>
        </w:tc>
      </w:tr>
      <w:tr>
        <w:trPr>
          <w:cantSplit/>
        </w:trPr>
        <w:tc>
          <w:tcPr>
            <w:tcW w:type="dxa" w:w="2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HHS § 92.210 + Part 84</w:t>
            </w:r>
          </w:p>
        </w:tc>
        <w:tc>
          <w:tcPr>
            <w:tcW w:type="dxa" w:w="34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Inventory patient-care decision-support tools; review discrimination risk; build accessible web/mobile experiences.</w:t>
            </w:r>
          </w:p>
        </w:tc>
        <w:tc>
          <w:tcPr>
            <w:tcW w:type="dxa" w:w="34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Coverage and litigation are fact-specific. Current Part 84 web/mobile dates were amended in May 2026; verify current text.</w:t>
            </w:r>
          </w:p>
        </w:tc>
      </w:tr>
      <w:tr>
        <w:trPr>
          <w:cantSplit/>
        </w:trPr>
        <w:tc>
          <w:tcPr>
            <w:tcW w:type="dxa" w:w="2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NIST AI RMF 1.0 / GenAI Profile</w:t>
            </w:r>
          </w:p>
        </w:tc>
        <w:tc>
          <w:tcPr>
            <w:tcW w:type="dxa" w:w="34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Use Govern–Map–Measure–Manage plus GenAI risk controls.</w:t>
            </w:r>
          </w:p>
        </w:tc>
        <w:tc>
          <w:tcPr>
            <w:tcW w:type="dxa" w:w="34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Voluntary; RMF revision work is underway. Not a certification, clearance, or legal safe harbor.</w:t>
            </w:r>
          </w:p>
        </w:tc>
      </w:tr>
      <w:tr>
        <w:trPr>
          <w:cantSplit/>
        </w:trPr>
        <w:tc>
          <w:tcPr>
            <w:tcW w:type="dxa" w:w="2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FDA CDS final guidance — Jan. 2026</w:t>
            </w:r>
          </w:p>
        </w:tc>
        <w:tc>
          <w:tcPr>
            <w:tcW w:type="dxa" w:w="34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Run intended-use and regulatory-classification review before clinical deployment or material change.</w:t>
            </w:r>
          </w:p>
        </w:tc>
        <w:tc>
          <w:tcPr>
            <w:tcW w:type="dxa" w:w="343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Supersedes the 2022 version. An administrative label or human reviewer does not automatically remove FDA jurisdiction.</w:t>
            </w:r>
          </w:p>
        </w:tc>
      </w:tr>
      <w:tr>
        <w:trPr>
          <w:cantSplit/>
        </w:trPr>
        <w:tc>
          <w:tcPr>
            <w:tcW w:type="dxa" w:w="2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HHS OIG GCPG</w:t>
            </w:r>
          </w:p>
        </w:tc>
        <w:tc>
          <w:tcPr>
            <w:tcW w:type="dxa" w:w="34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Route coding, billing, utilization, vendor, and financial AI through compliance, audit, reporting, and correction.</w:t>
            </w:r>
          </w:p>
        </w:tc>
        <w:tc>
          <w:tcPr>
            <w:tcW w:type="dxa" w:w="343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5"/>
              </w:rPr>
              <w:t>Voluntary/nonbinding; Hospital ICPG was still listed as coming soon on July 15, 2026.</w:t>
            </w:r>
          </w:p>
        </w:tc>
      </w:tr>
    </w:tbl>
    <w:p>
      <w:pPr>
        <w:spacing w:before="0" w:after="40"/>
      </w:pPr>
    </w:p>
    <w:p>
      <w:pPr>
        <w:spacing w:before="120" w:after="200" w:line="276" w:lineRule="auto"/>
        <w:shd w:fill="E8F4EE"/>
        <w:pBdr>
          <w:left w:val="single" w:sz="18" w:space="8" w:color="1F6B52"/>
        </w:pBdr>
        <w:ind w:left="180" w:right="120"/>
      </w:pPr>
      <w:r>
        <w:rPr>
          <w:rFonts w:ascii="Calibri" w:hAnsi="Calibri" w:eastAsia="Calibri"/>
          <w:b/>
          <w:color w:val="123047"/>
          <w:sz w:val="22"/>
        </w:rPr>
        <w:t xml:space="preserve">Accessibility target: </w:t>
      </w:r>
      <w:r>
        <w:rPr>
          <w:rFonts w:ascii="Calibri" w:hAnsi="Calibri" w:eastAsia="Calibri"/>
          <w:color w:val="1F2937"/>
          <w:sz w:val="22"/>
        </w:rPr>
        <w:t>Build to WCAG 2.2 AA as a forward-looking design target while recognizing that the current cited HHS Part 84 legal standard is WCAG 2.1 A/AA. Automated scans alone do not prove accessibility.</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Source rule: </w:t>
      </w:r>
      <w:r>
        <w:rPr>
          <w:rFonts w:ascii="Calibri" w:hAnsi="Calibri" w:eastAsia="Calibri"/>
          <w:color w:val="1F2937"/>
          <w:sz w:val="22"/>
        </w:rPr>
        <w:t>Record publisher, exact title, canonical source, date/version, binding/proposed/voluntary status, retrieved date, applicability owner, exclusions, local override, and expiry. Recheck at use time; STEWARD is not endorsed or approved by the sources.</w:t>
      </w:r>
    </w:p>
    <w:p>
      <w:pPr>
        <w:pStyle w:val="Heading1"/>
        <w:keepNext/>
        <w:pageBreakBefore/>
      </w:pPr>
      <w:r>
        <w:t>Release assurance — structural checks are not runtime proof</w:t>
      </w:r>
    </w:p>
    <w:p>
      <w:pPr>
        <w:spacing w:before="0" w:after="240" w:line="288" w:lineRule="auto"/>
      </w:pPr>
      <w:r>
        <w:rPr>
          <w:rFonts w:ascii="Calibri" w:hAnsi="Calibri" w:eastAsia="Calibri"/>
          <w:b/>
          <w:color w:val="123047"/>
          <w:sz w:val="26"/>
        </w:rPr>
        <w:t>The downloadable artifact and the installed system require different evidence. Passing package validation does not prove that Hermes enforced isolation, permissions, accessibility, action denial, recovery, or uninstall.</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200"/>
        <w:gridCol w:w="3650"/>
        <w:gridCol w:w="3510"/>
      </w:tblGrid>
      <w:tr>
        <w:trPr>
          <w:cantSplit/>
          <w:tblHeader w:val="true"/>
          <w:cantSplit/>
        </w:trPr>
        <w:tc>
          <w:tcPr>
            <w:tcW w:type="dxa" w:w="2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Evidence layer</w:t>
            </w:r>
          </w:p>
        </w:tc>
        <w:tc>
          <w:tcPr>
            <w:tcW w:type="dxa" w:w="36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What it can prove</w:t>
            </w:r>
          </w:p>
        </w:tc>
        <w:tc>
          <w:tcPr>
            <w:tcW w:type="dxa" w:w="35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What it cannot prove</w:t>
            </w:r>
          </w:p>
        </w:tc>
      </w:tr>
      <w:tr>
        <w:trPr>
          <w:cantSplit/>
        </w:trPr>
        <w:tc>
          <w:tcPr>
            <w:tcW w:type="dxa" w:w="2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Artifact structural validation</w:t>
            </w:r>
          </w:p>
        </w:tc>
        <w:tc>
          <w:tcPr>
            <w:tcW w:type="dxa" w:w="36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Expected files, IDs, counts, links, exact embedding, schema references, checksums, and parseable structure</w:t>
            </w:r>
          </w:p>
        </w:tc>
        <w:tc>
          <w:tcPr>
            <w:tcW w:type="dxa" w:w="35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Runtime isolation, permission enforcement, action denial, installed-dashboard accessibility, pause/kill/rollback/purge, or uninstall</w:t>
            </w:r>
          </w:p>
        </w:tc>
      </w:tr>
      <w:tr>
        <w:trPr>
          <w:cantSplit/>
        </w:trPr>
        <w:tc>
          <w:tcPr>
            <w:tcW w:type="dxa" w:w="2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160 runtime criteria</w:t>
            </w:r>
          </w:p>
        </w:tc>
        <w:tc>
          <w:tcPr>
            <w:tcW w:type="dxa" w:w="36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Observed behavior in the target Hermes adapter/version using versioned fixtures, state probes, exact evidence references, and independent review</w:t>
            </w:r>
          </w:p>
        </w:tc>
        <w:tc>
          <w:tcPr>
            <w:tcW w:type="dxa" w:w="35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Organizational approval, legal compliance, accreditation, security authorization, or guaranteed outcomes</w:t>
            </w:r>
          </w:p>
        </w:tc>
      </w:tr>
    </w:tbl>
    <w:p>
      <w:pPr>
        <w:spacing w:before="0" w:after="40"/>
      </w:pPr>
    </w:p>
    <w:p>
      <w:pPr>
        <w:pStyle w:val="Heading2"/>
        <w:keepNext/>
      </w:pPr>
      <w:r>
        <w:t>Required runtime status distinctions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450"/>
        <w:gridCol w:w="4850"/>
        <w:gridCol w:w="3060"/>
      </w:tblGrid>
      <w:tr>
        <w:trPr>
          <w:cantSplit/>
          <w:tblHeader w:val="true"/>
          <w:cantSplit/>
        </w:trPr>
        <w:tc>
          <w:tcPr>
            <w:tcW w:type="dxa" w:w="14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Status</w:t>
            </w:r>
          </w:p>
        </w:tc>
        <w:tc>
          <w:tcPr>
            <w:tcW w:type="dxa" w:w="48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Meaning</w:t>
            </w:r>
          </w:p>
        </w:tc>
        <w:tc>
          <w:tcPr>
            <w:tcW w:type="dxa" w:w="30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Release effect</w:t>
            </w:r>
          </w:p>
        </w:tc>
      </w:tr>
      <w:tr>
        <w:trPr>
          <w:cantSplit/>
        </w:trPr>
        <w:tc>
          <w:tcPr>
            <w:tcW w:type="dxa" w:w="1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specified</w:t>
            </w:r>
          </w:p>
        </w:tc>
        <w:tc>
          <w:tcPr>
            <w:tcW w:type="dxa" w:w="4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Criterion, method, fixture, and expected evidence are defined; it has not been run.</w:t>
            </w:r>
          </w:p>
        </w:tc>
        <w:tc>
          <w:tcPr>
            <w:tcW w:type="dxa" w:w="3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Not a pass</w:t>
            </w:r>
          </w:p>
        </w:tc>
      </w:tr>
      <w:tr>
        <w:trPr>
          <w:cantSplit/>
        </w:trPr>
        <w:tc>
          <w:tcPr>
            <w:tcW w:type="dxa" w:w="1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executed</w:t>
            </w:r>
          </w:p>
        </w:tc>
        <w:tc>
          <w:tcPr>
            <w:tcW w:type="dxa" w:w="4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The method ran and captured evidence; result still requires disposition.</w:t>
            </w:r>
          </w:p>
        </w:tc>
        <w:tc>
          <w:tcPr>
            <w:tcW w:type="dxa" w:w="3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Not automatically a pass</w:t>
            </w:r>
          </w:p>
        </w:tc>
      </w:tr>
      <w:tr>
        <w:trPr>
          <w:cantSplit/>
        </w:trPr>
        <w:tc>
          <w:tcPr>
            <w:tcW w:type="dxa" w:w="1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passed</w:t>
            </w:r>
          </w:p>
        </w:tc>
        <w:tc>
          <w:tcPr>
            <w:tcW w:type="dxa" w:w="4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Observed evidence met the criterion and independent review requirements.</w:t>
            </w:r>
          </w:p>
        </w:tc>
        <w:tc>
          <w:tcPr>
            <w:tcW w:type="dxa" w:w="3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Counts only for the tested adapter/version</w:t>
            </w:r>
          </w:p>
        </w:tc>
      </w:tr>
      <w:tr>
        <w:trPr>
          <w:cantSplit/>
        </w:trPr>
        <w:tc>
          <w:tcPr>
            <w:tcW w:type="dxa" w:w="1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failed</w:t>
            </w:r>
          </w:p>
        </w:tc>
        <w:tc>
          <w:tcPr>
            <w:tcW w:type="dxa" w:w="4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Observed evidence did not meet the criterion.</w:t>
            </w:r>
          </w:p>
        </w:tc>
        <w:tc>
          <w:tcPr>
            <w:tcW w:type="dxa" w:w="3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Critical failure blocks activation</w:t>
            </w:r>
          </w:p>
        </w:tc>
      </w:tr>
      <w:tr>
        <w:trPr>
          <w:cantSplit/>
        </w:trPr>
        <w:tc>
          <w:tcPr>
            <w:tcW w:type="dxa" w:w="1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blocked</w:t>
            </w:r>
          </w:p>
        </w:tc>
        <w:tc>
          <w:tcPr>
            <w:tcW w:type="dxa" w:w="4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 dependency, permission, environment, or evidence gap prevented completion.</w:t>
            </w:r>
          </w:p>
        </w:tc>
        <w:tc>
          <w:tcPr>
            <w:tcW w:type="dxa" w:w="3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Critical block blocks activation</w:t>
            </w:r>
          </w:p>
        </w:tc>
      </w:tr>
      <w:tr>
        <w:trPr>
          <w:cantSplit/>
        </w:trPr>
        <w:tc>
          <w:tcPr>
            <w:tcW w:type="dxa" w:w="1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unsupported</w:t>
            </w:r>
          </w:p>
        </w:tc>
        <w:tc>
          <w:tcPr>
            <w:tcW w:type="dxa" w:w="4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The target cannot perform the required probe or control.</w:t>
            </w:r>
          </w:p>
        </w:tc>
        <w:tc>
          <w:tcPr>
            <w:tcW w:type="dxa" w:w="3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Never converts to pass; critical unsupported blocks activation</w:t>
            </w:r>
          </w:p>
        </w:tc>
      </w:tr>
    </w:tbl>
    <w:p>
      <w:pPr>
        <w:spacing w:before="0" w:after="40"/>
      </w:pP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Runtime evidence rule: </w:t>
      </w:r>
      <w:r>
        <w:rPr>
          <w:rFonts w:ascii="Calibri" w:hAnsi="Calibri" w:eastAsia="Calibri"/>
          <w:color w:val="1F2937"/>
          <w:sz w:val="22"/>
        </w:rPr>
        <w:t>Each criterion records ID, assertion, exact method, adapter/environment/version, fixture/input IDs, expected and observed results, evidence reference, tester, independent reviewer, timestamp, status, severity, remediation owner, retest, and receipt. Model narrative and the tested agent's self-attestation are not evidence.</w:t>
      </w:r>
    </w:p>
    <w:p>
      <w:pPr>
        <w:pStyle w:val="Heading1"/>
        <w:keepNext/>
        <w:pageBreakBefore/>
      </w:pPr>
      <w:r>
        <w:t>Seven-, thirty-, and ninety-day adoption — help the administrator lead</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200"/>
        <w:gridCol w:w="5160"/>
        <w:gridCol w:w="3000"/>
      </w:tblGrid>
      <w:tr>
        <w:trPr>
          <w:cantSplit/>
          <w:tblHeader w:val="true"/>
          <w:cantSplit/>
        </w:trPr>
        <w:tc>
          <w:tcPr>
            <w:tcW w:type="dxa" w:w="1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Time</w:t>
            </w:r>
          </w:p>
        </w:tc>
        <w:tc>
          <w:tcPr>
            <w:tcW w:type="dxa" w:w="51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Human-owned goal</w:t>
            </w:r>
          </w:p>
        </w:tc>
        <w:tc>
          <w:tcPr>
            <w:tcW w:type="dxa" w:w="30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Evidence to keep</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Day 1</w:t>
            </w:r>
          </w:p>
        </w:tc>
        <w:tc>
          <w:tcPr>
            <w:tcW w:type="dxa" w:w="5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Verify isolation, exact role/hat, entity/site, CHART, controls, and source watch; preview no more than one private/synthetic power.</w:t>
            </w:r>
          </w:p>
        </w:tc>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S0/S1/S2 and Activation Report; first-use receipt</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Day 2</w:t>
            </w:r>
          </w:p>
        </w:tc>
        <w:tc>
          <w:tcPr>
            <w:tcW w:type="dxa" w:w="5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Define one mission outcome, one protected-life promise, one non-negotiable boundary, and one decision-right question.</w:t>
            </w:r>
          </w:p>
        </w:tc>
        <w:tc>
          <w:tcPr>
            <w:tcW w:type="dxa" w:w="3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TPL-01/02; owner, expiry, and delete date</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Day 3</w:t>
            </w:r>
          </w:p>
        </w:tc>
        <w:tc>
          <w:tcPr>
            <w:tcW w:type="dxa" w:w="5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Create one source ledger and one transparent decision brief with status quo, options, assumptions, and human owner.</w:t>
            </w:r>
          </w:p>
        </w:tc>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TPL-03/06; source versions and decision status</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Day 4</w:t>
            </w:r>
          </w:p>
        </w:tc>
        <w:tc>
          <w:tcPr>
            <w:tcW w:type="dxa" w:w="5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Use a synthetic aggregate process question to map a bottleneck and smallest reversible test.</w:t>
            </w:r>
          </w:p>
        </w:tc>
        <w:tc>
          <w:tcPr>
            <w:tcW w:type="dxa" w:w="3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TPL-09/10; approved measure definitions</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Day 5</w:t>
            </w:r>
          </w:p>
        </w:tc>
        <w:tc>
          <w:tcPr>
            <w:tcW w:type="dxa" w:w="5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Prepare one accessible change, quality, policy, equity, or resilience artifact—no send or official publication.</w:t>
            </w:r>
          </w:p>
        </w:tc>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TPL-19/21–25; reviewer routes</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Day 6</w:t>
            </w:r>
          </w:p>
        </w:tc>
        <w:tc>
          <w:tcPr>
            <w:tcW w:type="dxa" w:w="5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Preview AGT-01; inspect its ORBIT charter, tests, failure, kill, rollback, purge, and retirement while it stays disabled.</w:t>
            </w:r>
          </w:p>
        </w:tc>
        <w:tc>
          <w:tcPr>
            <w:tcW w:type="dxa" w:w="3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TPL-28/29; no-run state</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Day 7</w:t>
            </w:r>
          </w:p>
        </w:tc>
        <w:tc>
          <w:tcPr>
            <w:tcW w:type="dxa" w:w="5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Retain, Revise, Pause, or Remove. Zero activated powers remains acceptable.</w:t>
            </w:r>
          </w:p>
        </w:tc>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TPL-30; burden/failure observation</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Days 8–30</w:t>
            </w:r>
          </w:p>
        </w:tc>
        <w:tc>
          <w:tcPr>
            <w:tcW w:type="dxa" w:w="5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Use at most three powers, one at a time, each with one owner, measurable benefit, burden check, and expiry.</w:t>
            </w:r>
          </w:p>
        </w:tc>
        <w:tc>
          <w:tcPr>
            <w:tcW w:type="dxa" w:w="3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Observed—not promised—value and control receipts</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Days 31–90</w:t>
            </w:r>
          </w:p>
        </w:tc>
        <w:tc>
          <w:tcPr>
            <w:tcW w:type="dxa" w:w="5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Scale one bounded evidence-bearing track after governance review; re-run CHART, source watch, and affected runtime criteria after material change.</w:t>
            </w:r>
          </w:p>
        </w:tc>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Stage-gate, change, monitoring, incident, and retirement evidence</w:t>
            </w:r>
          </w:p>
        </w:tc>
      </w:tr>
    </w:tbl>
    <w:p>
      <w:pPr>
        <w:spacing w:before="0" w:after="40"/>
      </w:pP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Final reminder: </w:t>
      </w:r>
      <w:r>
        <w:rPr>
          <w:rFonts w:ascii="Calibri" w:hAnsi="Calibri" w:eastAsia="Calibri"/>
          <w:color w:val="1F2937"/>
          <w:sz w:val="22"/>
        </w:rPr>
        <w:t>STEWARD helps administrators lead with clearer mandate, choices, operations, resources, people, assurance, resilience, and AI controls. It does not become the leader, the clinician, the official system, the regulator, or the emergency chain. Authorized humans decide, act, acknowledge, reconcile, and remain accountable.</w:t>
      </w:r>
    </w:p>
    <w:sectPr w:rsidR="00FC693F" w:rsidRPr="0006063C" w:rsidSect="00034616">
      <w:headerReference w:type="default" r:id="rId9"/>
      <w:footerReference w:type="default" r:id="rId10"/>
      <w:pgSz w:w="12240" w:h="15840"/>
      <w:pgMar w:top="1440" w:right="1440" w:bottom="1440" w:left="1440" w:header="708" w:footer="70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Calibri" w:hAnsi="Calibri" w:eastAsia="Calibri"/>
        <w:color w:val="5F6B76"/>
        <w:sz w:val="18"/>
      </w:rPr>
      <w:t xml:space="preserve">Page </w:t>
    </w:r>
    <w:fldSimple w:instr="PAGE">
      <w:r>
        <w:rPr>
          <w:rFonts w:ascii="Calibri" w:hAnsi="Calibri"/>
          <w:color w:val="5F6B76"/>
          <w:sz w:val="18"/>
        </w:rPr>
        <w:t>1</w:t>
      </w:r>
    </w:fldSimpl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Calibri" w:hAnsi="Calibri" w:eastAsia="Calibri"/>
        <w:b/>
        <w:color w:val="5F6B76"/>
        <w:sz w:val="17"/>
      </w:rPr>
      <w:t>HERMES–HEALTHCARE ADMINISTRATOR AI OS  |  STEWARD COMPLETE EDITION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before="0" w:after="80" w:line="300" w:lineRule="auto"/>
      </w:pPr>
      <w:rPr>
        <w:rFonts w:ascii="Calibri" w:hAnsi="Calibri"/>
      </w:rPr>
    </w:lvl>
  </w:abstractNum>
  <w:num w:numId="10">
    <w:abstractNumId w:val="9"/>
  </w:num>
  <w:abstractNum w:abstractNumId="10">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1">
    <w:abstractNumId w:val="10"/>
  </w:num>
  <w:abstractNum w:abstractNumId="11">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2">
    <w:abstractNumId w:val="11"/>
  </w:num>
  <w:abstractNum w:abstractNumId="12">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3">
    <w:abstractNumId w:val="12"/>
  </w:num>
  <w:abstractNum w:abstractNumId="13">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line="240" w:lineRule="auto"/>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line="240" w:lineRule="auto"/>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40" w:lineRule="auto"/>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uideTitle">
    <w:name w:val="Guide Title"/>
    <w:pPr>
      <w:spacing w:after="160" w:line="240" w:lineRule="auto"/>
      <w:jc w:val="center"/>
    </w:pPr>
    <w:rPr>
      <w:rFonts w:ascii="Calibri" w:hAnsi="Calibri"/>
      <w:b/>
      <w:color w:val="123047"/>
      <w:sz w:val="6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STEWARD — Hospital &amp; Clinic Administrator Complete AI OS Setup Guide</dc:title>
  <dc:subject>Governed installation, benefits, dashboard, workflows, AI agents, and release assurance for hospital and clinic administrators</dc:subject>
  <dc:creator>Hermes–Healthcare Administrator AI OS</dc:creator>
  <cp:keywords>hospital administration, clinic administration, STEWARD, AI governance, healthcare operations, AI agents</cp:keywords>
  <dc:description>generated by python-docx</dc:description>
  <cp:lastModifiedBy/>
  <cp:revision>1</cp:revision>
  <dcterms:created xsi:type="dcterms:W3CDTF">2013-12-23T23:15:00Z</dcterms:created>
  <dcterms:modified xsi:type="dcterms:W3CDTF">2013-12-23T23:15:00Z</dcterms:modified>
  <cp:category/>
</cp:coreProperties>
</file>