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40" w:after="320"/>
        <w:jc w:val="center"/>
      </w:pPr>
      <w:r>
        <w:rPr>
          <w:rFonts w:ascii="Calibri" w:hAnsi="Calibri" w:eastAsia="Calibri"/>
          <w:b/>
          <w:color w:val="0B7A75"/>
          <w:sz w:val="22"/>
        </w:rPr>
        <w:t>STAFF NURSE GUIDE</w:t>
      </w:r>
    </w:p>
    <w:p>
      <w:pPr>
        <w:pStyle w:val="GuideTitle"/>
      </w:pPr>
      <w:r>
        <w:t>Hermes–Nurse AI OS</w:t>
      </w:r>
    </w:p>
    <w:p>
      <w:pPr>
        <w:spacing w:after="200"/>
        <w:jc w:val="center"/>
      </w:pPr>
      <w:r>
        <w:rPr>
          <w:rFonts w:ascii="Calibri" w:hAnsi="Calibri" w:eastAsia="Calibri"/>
          <w:b/>
          <w:color w:val="2E74B5"/>
          <w:sz w:val="38"/>
        </w:rPr>
        <w:t>Staff Nurse Life &amp; Practice</w:t>
        <w:br/>
        <w:t>Empowerment Function</w:t>
      </w:r>
    </w:p>
    <w:p>
      <w:pPr>
        <w:spacing w:after="640"/>
        <w:jc w:val="center"/>
      </w:pPr>
      <w:r>
        <w:rPr>
          <w:rFonts w:ascii="Calibri" w:hAnsi="Calibri" w:eastAsia="Calibri"/>
          <w:color w:val="5F6B76"/>
          <w:sz w:val="27"/>
        </w:rPr>
        <w:t>A nurse-controlled command center for shift readiness, learning, communication, career development, recovery, finances, relationships, and a whole life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The AI prepares and coordinates. The nurse assesses, cares, communicates, escalates, and decides within their role. Patient care remains in approved clinical systems. The nurse’s life remains visible.</w:t>
      </w:r>
    </w:p>
    <w:p>
      <w:pPr>
        <w:spacing w:before="840" w:after="120"/>
        <w:jc w:val="center"/>
      </w:pPr>
      <w:r>
        <w:rPr>
          <w:rFonts w:ascii="Calibri" w:hAnsi="Calibri" w:eastAsia="Calibri"/>
          <w:b/>
          <w:color w:val="5F6B76"/>
          <w:sz w:val="21"/>
        </w:rPr>
        <w:t>For staff nurses in every setting, schedule, and season</w:t>
      </w:r>
    </w:p>
    <w:p>
      <w:pPr>
        <w:jc w:val="center"/>
      </w:pPr>
      <w:r>
        <w:rPr>
          <w:rFonts w:ascii="Calibri" w:hAnsi="Calibri" w:eastAsia="Calibri"/>
          <w:color w:val="5F6B76"/>
          <w:sz w:val="20"/>
        </w:rPr>
        <w:t>Version 1.0  •  July 2026</w:t>
      </w:r>
    </w:p>
    <w:p>
      <w:r>
        <w:br w:type="page"/>
      </w:r>
    </w:p>
    <w:p>
      <w:pPr>
        <w:pStyle w:val="Heading1"/>
        <w:keepNext/>
      </w:pPr>
      <w:r>
        <w:t>Welcome: staff nursing is rarely “just a shift”</w:t>
      </w:r>
    </w:p>
    <w:p>
      <w:pPr>
        <w:spacing w:before="0" w:after="240" w:line="288" w:lineRule="auto"/>
      </w:pPr>
      <w:r>
        <w:rPr>
          <w:rFonts w:ascii="Calibri" w:hAnsi="Calibri" w:eastAsia="Calibri"/>
          <w:b/>
          <w:color w:val="123047"/>
          <w:sz w:val="26"/>
        </w:rPr>
        <w:t>Staff nurses assess, prioritize, communicate, educate, document, coordinate, advocate, learn, adapt, and respond to constant change—while carrying a life that does not stop at the unit door.</w:t>
      </w:r>
    </w:p>
    <w:p>
      <w:pPr/>
      <w:r>
        <w:rPr>
          <w:rFonts w:ascii="Calibri" w:hAnsi="Calibri" w:eastAsia="Calibri"/>
          <w:i w:val="0"/>
          <w:color w:val="1F2937"/>
          <w:sz w:val="22"/>
        </w:rPr>
        <w:t>A staff nurse may rotate schedules, commute, parent, provide family care, manage health needs, pursue education, navigate finances, recover from difficult shifts, and plan a future beyond the present role. Much of that work is fragmented across schedules, learning platforms, policy systems, personal notes, and memory.</w:t>
      </w:r>
    </w:p>
    <w:p>
      <w:pPr/>
      <w:r>
        <w:rPr>
          <w:rFonts w:ascii="Calibri" w:hAnsi="Calibri" w:eastAsia="Calibri"/>
          <w:i w:val="0"/>
          <w:color w:val="1F2937"/>
          <w:sz w:val="22"/>
        </w:rPr>
        <w:t>The Staff Nurse Life &amp; Practice Empowerment Function creates one nurse-controlled environment around the person doing the work. It reduces avoidable coordination burden and protects what only the nurse and human team can provide: assessment, judgment, presence, advocacy, compassion, communication, and accountable care.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The purpose: </w:t>
      </w:r>
      <w:r>
        <w:rPr>
          <w:rFonts w:ascii="Calibri" w:hAnsi="Calibri" w:eastAsia="Calibri"/>
          <w:color w:val="1F2937"/>
          <w:sz w:val="22"/>
        </w:rPr>
        <w:t>This is not an artificial staff nurse or point-of-care decision-maker. It prepares, organizes, and supports the nurse outside live patient-care decisions so the nurse can practice, grow, recover, and live with greater clarity.</w:t>
      </w:r>
    </w:p>
    <w:p>
      <w:pPr>
        <w:pStyle w:val="Heading1"/>
        <w:keepNext/>
      </w:pPr>
      <w:r>
        <w:t>Executive overview</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746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Element</w:t>
            </w:r>
          </w:p>
        </w:tc>
        <w:tc>
          <w:tcPr>
            <w:tcW w:type="dxa" w:w="74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Purpose</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Hermes</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Coordinates nurse-approved goals, schedules, learning, drafts, routines, reminders, and follow-through.</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Nurse AI OS</w:t>
            </w:r>
          </w:p>
        </w:tc>
        <w:tc>
          <w:tcPr>
            <w:tcW w:type="dxa" w:w="7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Adds no-PHI boundaries, clinical-safety stops, scope awareness, source verification, privacy, and human authority.</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Staff Nurse dashboard</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Provides one private view of shifts, recovery, learning, credentials, communication needs, career goals, finances, relationships, and personal priorities.</w:t>
            </w:r>
          </w:p>
        </w:tc>
      </w:tr>
    </w:tbl>
    <w:p>
      <w:pPr>
        <w:spacing w:before="0" w:after="40"/>
      </w:pPr>
    </w:p>
    <w:p>
      <w:pPr/>
      <w:r>
        <w:rPr>
          <w:rFonts w:ascii="Calibri" w:hAnsi="Calibri" w:eastAsia="Calibri"/>
          <w:i w:val="0"/>
          <w:color w:val="1F2937"/>
          <w:sz w:val="22"/>
        </w:rPr>
        <w:t>The system may organize, plan, retrieve, compare, outline, draft, rehearse, and track. It may not assess patients, recommend patient-specific interventions, interpret live clinical data, make staffing or delegation decisions, certify competency or fitness for duty, provide legal determinations, or replace the approved human chain.</w:t>
      </w:r>
    </w:p>
    <w:p>
      <w:pPr>
        <w:pStyle w:val="Heading1"/>
        <w:keepNext/>
      </w:pPr>
      <w:r>
        <w:t>Designed for real staff-nurse situations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100"/>
        <w:gridCol w:w="4070"/>
        <w:gridCol w:w="3190"/>
      </w:tblGrid>
      <w:tr>
        <w:trPr>
          <w:cantSplit/>
          <w:tblHeader w:val="true"/>
          <w:cantSplit/>
        </w:trPr>
        <w:tc>
          <w:tcPr>
            <w:tcW w:type="dxa" w:w="2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Staff-nurse situation</w:t>
            </w:r>
          </w:p>
        </w:tc>
        <w:tc>
          <w:tcPr>
            <w:tcW w:type="dxa" w:w="407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How the system adapts</w:t>
            </w:r>
          </w:p>
        </w:tc>
        <w:tc>
          <w:tcPr>
            <w:tcW w:type="dxa" w:w="319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Boundary</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New graduate or resident</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Stages orientation, learning, questions, confidence-building, and recovery.</w:t>
            </w:r>
          </w:p>
        </w:tc>
        <w:tc>
          <w:tcPr>
            <w:tcW w:type="dxa" w:w="31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Preceptors, educators, leaders, and competency processes remain authoritative.</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Night or rotating shift</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Plans sleep transitions, meals, caregiving, commute, and a minimum viable week.</w:t>
            </w:r>
          </w:p>
        </w:tc>
        <w:tc>
          <w:tcPr>
            <w:tcW w:type="dxa" w:w="31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medical treatment or fitness-for-duty determination.</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Float, per-diem, agency, or travel</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Maintains portable routines, credential reminders, and verification questions.</w:t>
            </w:r>
          </w:p>
        </w:tc>
        <w:tc>
          <w:tcPr>
            <w:tcW w:type="dxa" w:w="31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Current local policy and jurisdiction govern each setting.</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Parent or family caregiver</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Protects caregiving, family routines, appointments, and backup plans.</w:t>
            </w:r>
          </w:p>
        </w:tc>
        <w:tc>
          <w:tcPr>
            <w:tcW w:type="dxa" w:w="31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assumption of unlimited flexibility or free labor.</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Disability, chronic condition, or neurodivergence</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Supports chosen routines, accessibility, and energy-aware planning.</w:t>
            </w:r>
          </w:p>
        </w:tc>
        <w:tc>
          <w:tcPr>
            <w:tcW w:type="dxa" w:w="31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diagnosis or accommodation decision.</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Rural or resource-limited setting</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Favors portable, low-bandwidth, locally maintainable resources.</w:t>
            </w:r>
          </w:p>
        </w:tc>
        <w:tc>
          <w:tcPr>
            <w:tcW w:type="dxa" w:w="31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Does not assume unavailable staff, equipment, or services.</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Internationally educated or multilingual</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Supports professional communication and system navigation.</w:t>
            </w:r>
          </w:p>
        </w:tc>
        <w:tc>
          <w:tcPr>
            <w:tcW w:type="dxa" w:w="31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Language, accent, and background never become a competence score.</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Returning after leave, injury, or burnout</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Builds a gradual, human-approved re-entry and learning plan.</w:t>
            </w:r>
          </w:p>
        </w:tc>
        <w:tc>
          <w:tcPr>
            <w:tcW w:type="dxa" w:w="31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Qualified humans and policy determine readiness and support.</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Career stability or transition</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Supports mastery, flexibility, advancement, education, or an intentional choice to stay.</w:t>
            </w:r>
          </w:p>
        </w:tc>
        <w:tc>
          <w:tcPr>
            <w:tcW w:type="dxa" w:w="31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The OS never imposes promotion as the goal.</w:t>
            </w:r>
          </w:p>
        </w:tc>
      </w:tr>
    </w:tbl>
    <w:p>
      <w:pPr>
        <w:spacing w:before="0" w:after="40"/>
      </w:pPr>
    </w:p>
    <w:p>
      <w:pPr>
        <w:pStyle w:val="Heading1"/>
        <w:keepNext/>
      </w:pPr>
      <w:r>
        <w:t>One nurse, five coordinated support functions</w:t>
      </w:r>
    </w:p>
    <w:p>
      <w:pPr>
        <w:spacing w:before="120" w:after="80"/>
        <w:jc w:val="center"/>
      </w:pPr>
      <w:r>
        <w:drawing>
          <wp:inline xmlns:a="http://schemas.openxmlformats.org/drawingml/2006/main" xmlns:pic="http://schemas.openxmlformats.org/drawingml/2006/picture">
            <wp:extent cx="5897880" cy="3317558"/>
            <wp:docPr id="1" name="Picture 1" descr="The staff nurse remains the clinician, advocate, teammate, and decision-maker. All five support departments operate through no-PHI protection, clinical safety, privacy, current scope and policy, and human authority." title="Staff Nurse Architecture"/>
            <wp:cNvGraphicFramePr>
              <a:graphicFrameLocks noChangeAspect="1"/>
            </wp:cNvGraphicFramePr>
            <a:graphic>
              <a:graphicData uri="http://schemas.openxmlformats.org/drawingml/2006/picture">
                <pic:pic>
                  <pic:nvPicPr>
                    <pic:cNvPr id="0" name="staff-nurse-architecture.png"/>
                    <pic:cNvPicPr/>
                  </pic:nvPicPr>
                  <pic:blipFill>
                    <a:blip r:embed="rId11"/>
                    <a:stretch>
                      <a:fillRect/>
                    </a:stretch>
                  </pic:blipFill>
                  <pic:spPr>
                    <a:xfrm>
                      <a:off x="0" y="0"/>
                      <a:ext cx="5897880" cy="3317558"/>
                    </a:xfrm>
                    <a:prstGeom prst="rect"/>
                  </pic:spPr>
                </pic:pic>
              </a:graphicData>
            </a:graphic>
          </wp:inline>
        </w:drawing>
      </w:r>
    </w:p>
    <w:p>
      <w:pPr>
        <w:spacing w:before="0" w:after="200"/>
        <w:jc w:val="center"/>
      </w:pPr>
      <w:r>
        <w:rPr>
          <w:rFonts w:ascii="Calibri" w:hAnsi="Calibri" w:eastAsia="Calibri"/>
          <w:i/>
          <w:color w:val="5F6B76"/>
          <w:sz w:val="18"/>
        </w:rPr>
        <w:t>The staff nurse remains the clinician, advocate, teammate, and decision-maker. All five support departments operate through no-PHI protection, clinical safety, privacy, current scope and policy, and human authority.</w:t>
      </w:r>
    </w:p>
    <w:p>
      <w:pPr>
        <w:pStyle w:val="Heading1"/>
        <w:keepNext/>
      </w:pPr>
      <w:r>
        <w:t>Benefits to the staff nurse</w:t>
      </w:r>
    </w:p>
    <w:p>
      <w:pPr>
        <w:pStyle w:val="Heading2"/>
        <w:keepNext/>
      </w:pPr>
      <w:r>
        <w:t>Less cognitive fragmentation</w:t>
      </w:r>
    </w:p>
    <w:p>
      <w:pPr/>
      <w:r>
        <w:rPr>
          <w:rFonts w:ascii="Calibri" w:hAnsi="Calibri" w:eastAsia="Calibri"/>
          <w:i w:val="0"/>
          <w:color w:val="1F2937"/>
          <w:sz w:val="22"/>
        </w:rPr>
        <w:t>Shifts, mandatory learning, credential renewals, appointments, family responsibilities, finances, recovery, and career goals become one coordinated plan without becoming one unsafe data store.</w:t>
      </w:r>
    </w:p>
    <w:p>
      <w:pPr>
        <w:pStyle w:val="Heading2"/>
        <w:keepNext/>
      </w:pPr>
      <w:r>
        <w:t>Better preparation without hidden unpaid labor</w:t>
      </w:r>
    </w:p>
    <w:p>
      <w:pPr/>
      <w:r>
        <w:rPr>
          <w:rFonts w:ascii="Calibri" w:hAnsi="Calibri" w:eastAsia="Calibri"/>
          <w:i w:val="0"/>
          <w:color w:val="1F2937"/>
          <w:sz w:val="22"/>
        </w:rPr>
        <w:t>Approved learning and administrative work are staged inside realistic time boundaries. Open time is not automatically converted into work.</w:t>
      </w:r>
    </w:p>
    <w:p>
      <w:pPr>
        <w:pStyle w:val="Heading2"/>
        <w:keepNext/>
      </w:pPr>
      <w:r>
        <w:t>More confident professional communication</w:t>
      </w:r>
    </w:p>
    <w:p>
      <w:pPr/>
      <w:r>
        <w:rPr>
          <w:rFonts w:ascii="Calibri" w:hAnsi="Calibri" w:eastAsia="Calibri"/>
          <w:i w:val="0"/>
          <w:color w:val="1F2937"/>
          <w:sz w:val="22"/>
        </w:rPr>
        <w:t>Hermes helps rehearse questions, boundaries, feedback, manager conversations, and escalation language using nonidentifying information.</w:t>
      </w:r>
    </w:p>
    <w:p>
      <w:pPr>
        <w:pStyle w:val="Heading2"/>
        <w:keepNext/>
      </w:pPr>
      <w:r>
        <w:t>Safer professional learning</w:t>
      </w:r>
    </w:p>
    <w:p>
      <w:pPr/>
      <w:r>
        <w:rPr>
          <w:rFonts w:ascii="Calibri" w:hAnsi="Calibri" w:eastAsia="Calibri"/>
          <w:i w:val="0"/>
          <w:color w:val="1F2937"/>
          <w:sz w:val="22"/>
        </w:rPr>
        <w:t>General learning stays separate from live care; sources, uncertainty, local-policy requirements, and human-review points remain visible.</w:t>
      </w:r>
    </w:p>
    <w:p>
      <w:pPr>
        <w:pStyle w:val="Heading2"/>
        <w:keepNext/>
      </w:pPr>
      <w:r>
        <w:t>Visible growth and contribution</w:t>
      </w:r>
    </w:p>
    <w:p>
      <w:pPr/>
      <w:r>
        <w:rPr>
          <w:rFonts w:ascii="Calibri" w:hAnsi="Calibri" w:eastAsia="Calibri"/>
          <w:i w:val="0"/>
          <w:color w:val="1F2937"/>
          <w:sz w:val="22"/>
        </w:rPr>
        <w:t>Certifications, precepting, committees, quality work, mentoring, recognition, and continuing education become nurse-controlled portfolio evidence.</w:t>
      </w:r>
    </w:p>
    <w:p>
      <w:pPr>
        <w:pStyle w:val="Heading2"/>
        <w:keepNext/>
      </w:pPr>
      <w:r>
        <w:t>More intentional career and financial direction</w:t>
      </w:r>
    </w:p>
    <w:p>
      <w:pPr/>
      <w:r>
        <w:rPr>
          <w:rFonts w:ascii="Calibri" w:hAnsi="Calibri" w:eastAsia="Calibri"/>
          <w:i w:val="0"/>
          <w:color w:val="1F2937"/>
          <w:sz w:val="22"/>
        </w:rPr>
        <w:t>The nurse can explore specialties, education, certifications, schedules, and self-selected financial goals without automatically sharing intentions with an employer.</w:t>
      </w:r>
    </w:p>
    <w:p>
      <w:pPr>
        <w:pStyle w:val="Heading2"/>
        <w:keepNext/>
      </w:pPr>
      <w:r>
        <w:t>A life larger than work</w:t>
      </w:r>
    </w:p>
    <w:p>
      <w:pPr/>
      <w:r>
        <w:rPr>
          <w:rFonts w:ascii="Calibri" w:hAnsi="Calibri" w:eastAsia="Calibri"/>
          <w:i w:val="0"/>
          <w:color w:val="1F2937"/>
          <w:sz w:val="22"/>
        </w:rPr>
        <w:t>Sleep, relationships, caregiving, health, community, finances, restoration, and joy remain visible alongside professional goals.</w:t>
      </w:r>
    </w:p>
    <w:p>
      <w:pPr>
        <w:pStyle w:val="Heading1"/>
        <w:keepNext/>
      </w:pPr>
      <w:r>
        <w:t>The Staff Nurse Empowerment Compact</w:t>
      </w:r>
    </w:p>
    <w:p>
      <w:pPr>
        <w:pStyle w:val="Heading2"/>
        <w:keepNext/>
      </w:pPr>
      <w:r>
        <w:t>You remain the nurse</w:t>
      </w:r>
    </w:p>
    <w:p>
      <w:pPr/>
      <w:r>
        <w:rPr>
          <w:rFonts w:ascii="Calibri" w:hAnsi="Calibri" w:eastAsia="Calibri"/>
          <w:i w:val="0"/>
          <w:color w:val="1F2937"/>
          <w:sz w:val="22"/>
        </w:rPr>
        <w:t>AI may organize and prepare. You retain assessment, professional judgment, accountability, advocacy, communication, and care within your role.</w:t>
      </w:r>
    </w:p>
    <w:p>
      <w:pPr>
        <w:pStyle w:val="Heading2"/>
        <w:keepNext/>
      </w:pPr>
      <w:r>
        <w:t>Patient care remains in the clinical system</w:t>
      </w:r>
    </w:p>
    <w:p>
      <w:pPr/>
      <w:r>
        <w:rPr>
          <w:rFonts w:ascii="Calibri" w:hAnsi="Calibri" w:eastAsia="Calibri"/>
          <w:i w:val="0"/>
          <w:color w:val="1F2937"/>
          <w:sz w:val="22"/>
        </w:rPr>
        <w:t>No patient identifiers, live observations, medication details, clinical images, chart content, handoff data, or patient-specific questions enter the general Hermes workspace.</w:t>
      </w:r>
    </w:p>
    <w:p>
      <w:pPr>
        <w:pStyle w:val="Heading2"/>
        <w:keepNext/>
      </w:pPr>
      <w:r>
        <w:t>Urgent care follows the human chain</w:t>
      </w:r>
    </w:p>
    <w:p>
      <w:pPr/>
      <w:r>
        <w:rPr>
          <w:rFonts w:ascii="Calibri" w:hAnsi="Calibri" w:eastAsia="Calibri"/>
          <w:i w:val="0"/>
          <w:color w:val="1F2937"/>
          <w:sz w:val="22"/>
        </w:rPr>
        <w:t>During deterioration, emergencies, medication questions, device concerns, procedural uncertainty, or safety risk, stop and use the approved clinical, pharmacy, supervisory, rapid-response, or emergency process.</w:t>
      </w:r>
    </w:p>
    <w:p>
      <w:pPr>
        <w:pStyle w:val="Heading2"/>
        <w:keepNext/>
      </w:pPr>
      <w:r>
        <w:t>Local authority remains visible</w:t>
      </w:r>
    </w:p>
    <w:p>
      <w:pPr/>
      <w:r>
        <w:rPr>
          <w:rFonts w:ascii="Calibri" w:hAnsi="Calibri" w:eastAsia="Calibri"/>
          <w:i w:val="0"/>
          <w:color w:val="1F2937"/>
          <w:sz w:val="22"/>
        </w:rPr>
        <w:t>Current law, scope, organizational policy, unit procedure, authorized orders, approved references, and qualified human leaders remain authoritative.</w:t>
      </w:r>
    </w:p>
    <w:p>
      <w:pPr>
        <w:pStyle w:val="Heading2"/>
        <w:keepNext/>
      </w:pPr>
      <w:r>
        <w:t>Competency remains human-determined</w:t>
      </w:r>
    </w:p>
    <w:p>
      <w:pPr/>
      <w:r>
        <w:rPr>
          <w:rFonts w:ascii="Calibri" w:hAnsi="Calibri" w:eastAsia="Calibri"/>
          <w:i w:val="0"/>
          <w:color w:val="1F2937"/>
          <w:sz w:val="22"/>
        </w:rPr>
        <w:t>Hermes may help the nurse study or prepare questions. It cannot validate competence, authorize practice, or replace supervised assessment.</w:t>
      </w:r>
    </w:p>
    <w:p>
      <w:pPr>
        <w:pStyle w:val="Heading2"/>
        <w:keepNext/>
      </w:pPr>
      <w:r>
        <w:t>Your private life remains yours</w:t>
      </w:r>
    </w:p>
    <w:p>
      <w:pPr/>
      <w:r>
        <w:rPr>
          <w:rFonts w:ascii="Calibri" w:hAnsi="Calibri" w:eastAsia="Calibri"/>
          <w:i w:val="0"/>
          <w:color w:val="1F2937"/>
          <w:sz w:val="22"/>
        </w:rPr>
        <w:t>Health, disability, pregnancy, family, finances, union activity, career intentions, mood, and recovery data are private by default.</w:t>
      </w:r>
    </w:p>
    <w:p>
      <w:pPr>
        <w:pStyle w:val="Heading2"/>
        <w:keepNext/>
      </w:pPr>
      <w:r>
        <w:t>The system does not become surveillance</w:t>
      </w:r>
    </w:p>
    <w:p>
      <w:pPr/>
      <w:r>
        <w:rPr>
          <w:rFonts w:ascii="Calibri" w:hAnsi="Calibri" w:eastAsia="Calibri"/>
          <w:i w:val="0"/>
          <w:color w:val="1F2937"/>
          <w:sz w:val="22"/>
        </w:rPr>
        <w:t>Private data never feed manager dashboards, productivity scores, scheduling decisions, discipline, or hidden risk models.</w:t>
      </w:r>
    </w:p>
    <w:p>
      <w:pPr>
        <w:pStyle w:val="Heading2"/>
        <w:keepNext/>
      </w:pPr>
      <w:r>
        <w:t>Rest is legitimate capacity</w:t>
      </w:r>
    </w:p>
    <w:p>
      <w:pPr/>
      <w:r>
        <w:rPr>
          <w:rFonts w:ascii="Calibri" w:hAnsi="Calibri" w:eastAsia="Calibri"/>
          <w:i w:val="0"/>
          <w:color w:val="1F2937"/>
          <w:sz w:val="22"/>
        </w:rPr>
        <w:t>Sleep opportunity, meals, relationships, caregiving, and protected personal time are not empty spaces waiting to be filled.</w:t>
      </w:r>
    </w:p>
    <w:p>
      <w:pPr>
        <w:pStyle w:val="Heading2"/>
        <w:keepNext/>
      </w:pPr>
      <w:r>
        <w:t>Drafts remain drafts</w:t>
      </w:r>
    </w:p>
    <w:p>
      <w:pPr/>
      <w:r>
        <w:rPr>
          <w:rFonts w:ascii="Calibri" w:hAnsi="Calibri" w:eastAsia="Calibri"/>
          <w:i w:val="0"/>
          <w:color w:val="1F2937"/>
          <w:sz w:val="22"/>
        </w:rPr>
        <w:t>External messages, applications, reports, calendar changes, purchases, and disclosures require deliberate nurse review and confirmation.</w:t>
      </w:r>
    </w:p>
    <w:p>
      <w:pPr>
        <w:pStyle w:val="Heading2"/>
        <w:keepNext/>
      </w:pPr>
      <w:r>
        <w:t>Asking for support is a valid outcome</w:t>
      </w:r>
    </w:p>
    <w:p>
      <w:pPr/>
      <w:r>
        <w:rPr>
          <w:rFonts w:ascii="Calibri" w:hAnsi="Calibri" w:eastAsia="Calibri"/>
          <w:i w:val="0"/>
          <w:color w:val="1F2937"/>
          <w:sz w:val="22"/>
        </w:rPr>
        <w:t>The system should make it easier to recognize overload, use the chain of command, request help, and pause what cannot be completed safely.</w:t>
      </w:r>
    </w:p>
    <w:p>
      <w:pPr>
        <w:pStyle w:val="Heading1"/>
        <w:keepNext/>
      </w:pPr>
      <w:r>
        <w:t>The five empowerment functions</w:t>
      </w:r>
    </w:p>
    <w:p>
      <w:pPr>
        <w:pStyle w:val="Heading2"/>
        <w:keepNext/>
      </w:pPr>
      <w:r>
        <w:t>1. Shift &amp; Life Command Center</w:t>
      </w:r>
    </w:p>
    <w:p>
      <w:pPr/>
      <w:r>
        <w:rPr>
          <w:rFonts w:ascii="Calibri" w:hAnsi="Calibri" w:eastAsia="Calibri"/>
          <w:i w:val="0"/>
          <w:color w:val="1F2937"/>
          <w:sz w:val="22"/>
        </w:rPr>
        <w:t>Coordinates shifts, commute, personal readiness, sleep opportunity, recovery, appointments, caregiving, boundaries, and the next realistic actions.</w:t>
      </w:r>
    </w:p>
    <w:p>
      <w:pPr>
        <w:spacing w:before="0" w:after="80" w:line="300" w:lineRule="auto"/>
        <w:numPr>
          <w:ilvl w:val="0"/>
          <w:numId w:val="10"/>
        </w:numPr>
      </w:pPr>
      <w:r>
        <w:rPr>
          <w:rFonts w:ascii="Calibri" w:hAnsi="Calibri" w:eastAsia="Calibri"/>
          <w:color w:val="1F2937"/>
          <w:sz w:val="22"/>
        </w:rPr>
        <w:t>Today’s Top Three, fixed commitments, protected recovery, and Plan B</w:t>
      </w:r>
    </w:p>
    <w:p>
      <w:pPr>
        <w:spacing w:before="0" w:after="80" w:line="300" w:lineRule="auto"/>
        <w:numPr>
          <w:ilvl w:val="0"/>
          <w:numId w:val="10"/>
        </w:numPr>
      </w:pPr>
      <w:r>
        <w:rPr>
          <w:rFonts w:ascii="Calibri" w:hAnsi="Calibri" w:eastAsia="Calibri"/>
          <w:color w:val="1F2937"/>
          <w:sz w:val="22"/>
        </w:rPr>
        <w:t>Pre-shift personal checklist with no patient or assignment data</w:t>
      </w:r>
    </w:p>
    <w:p>
      <w:pPr>
        <w:spacing w:before="0" w:after="80" w:line="300" w:lineRule="auto"/>
        <w:numPr>
          <w:ilvl w:val="0"/>
          <w:numId w:val="10"/>
        </w:numPr>
      </w:pPr>
      <w:r>
        <w:rPr>
          <w:rFonts w:ascii="Calibri" w:hAnsi="Calibri" w:eastAsia="Calibri"/>
          <w:color w:val="1F2937"/>
          <w:sz w:val="22"/>
        </w:rPr>
        <w:t>Post-shift transition that does not become unpaid clinical work</w:t>
      </w:r>
    </w:p>
    <w:p>
      <w:pPr>
        <w:spacing w:before="0" w:after="80" w:line="300" w:lineRule="auto"/>
        <w:numPr>
          <w:ilvl w:val="0"/>
          <w:numId w:val="10"/>
        </w:numPr>
      </w:pPr>
      <w:r>
        <w:rPr>
          <w:rFonts w:ascii="Calibri" w:hAnsi="Calibri" w:eastAsia="Calibri"/>
          <w:color w:val="1F2937"/>
          <w:sz w:val="22"/>
        </w:rPr>
        <w:t>Schedule-cycle capacity map and minimum viable week</w:t>
      </w:r>
    </w:p>
    <w:p>
      <w:pPr>
        <w:spacing w:before="0" w:after="80" w:line="300" w:lineRule="auto"/>
        <w:numPr>
          <w:ilvl w:val="0"/>
          <w:numId w:val="10"/>
        </w:numPr>
      </w:pPr>
      <w:r>
        <w:rPr>
          <w:rFonts w:ascii="Calibri" w:hAnsi="Calibri" w:eastAsia="Calibri"/>
          <w:color w:val="1F2937"/>
          <w:sz w:val="22"/>
        </w:rPr>
        <w:t>Overtime reflection that preserves the nurse’s decision and human safety pathway</w:t>
      </w:r>
    </w:p>
    <w:p>
      <w:pPr>
        <w:pStyle w:val="Heading2"/>
        <w:keepNext/>
      </w:pPr>
      <w:r>
        <w:t>2. Professional Practice, Learning &amp; Readiness Studio</w:t>
      </w:r>
    </w:p>
    <w:p>
      <w:pPr/>
      <w:r>
        <w:rPr>
          <w:rFonts w:ascii="Calibri" w:hAnsi="Calibri" w:eastAsia="Calibri"/>
          <w:i w:val="0"/>
          <w:color w:val="1F2937"/>
          <w:sz w:val="22"/>
        </w:rPr>
        <w:t>Supports general education, credentials, certifications, confidence, orientation, and preparation to use approved clinical resources.</w:t>
      </w:r>
    </w:p>
    <w:p>
      <w:pPr>
        <w:spacing w:before="0" w:after="80" w:line="300" w:lineRule="auto"/>
        <w:numPr>
          <w:ilvl w:val="0"/>
          <w:numId w:val="10"/>
        </w:numPr>
      </w:pPr>
      <w:r>
        <w:rPr>
          <w:rFonts w:ascii="Calibri" w:hAnsi="Calibri" w:eastAsia="Calibri"/>
          <w:color w:val="1F2937"/>
          <w:sz w:val="22"/>
        </w:rPr>
        <w:t>Study plans from approved sources</w:t>
      </w:r>
    </w:p>
    <w:p>
      <w:pPr>
        <w:spacing w:before="0" w:after="80" w:line="300" w:lineRule="auto"/>
        <w:numPr>
          <w:ilvl w:val="0"/>
          <w:numId w:val="10"/>
        </w:numPr>
      </w:pPr>
      <w:r>
        <w:rPr>
          <w:rFonts w:ascii="Calibri" w:hAnsi="Calibri" w:eastAsia="Calibri"/>
          <w:color w:val="1F2937"/>
          <w:sz w:val="22"/>
        </w:rPr>
        <w:t>Synthetic cases and questions for an educator or preceptor</w:t>
      </w:r>
    </w:p>
    <w:p>
      <w:pPr>
        <w:spacing w:before="0" w:after="80" w:line="300" w:lineRule="auto"/>
        <w:numPr>
          <w:ilvl w:val="0"/>
          <w:numId w:val="10"/>
        </w:numPr>
      </w:pPr>
      <w:r>
        <w:rPr>
          <w:rFonts w:ascii="Calibri" w:hAnsi="Calibri" w:eastAsia="Calibri"/>
          <w:color w:val="1F2937"/>
          <w:sz w:val="22"/>
        </w:rPr>
        <w:t>Credential and renewal calendar with official verification</w:t>
      </w:r>
    </w:p>
    <w:p>
      <w:pPr>
        <w:spacing w:before="0" w:after="80" w:line="300" w:lineRule="auto"/>
        <w:numPr>
          <w:ilvl w:val="0"/>
          <w:numId w:val="10"/>
        </w:numPr>
      </w:pPr>
      <w:r>
        <w:rPr>
          <w:rFonts w:ascii="Calibri" w:hAnsi="Calibri" w:eastAsia="Calibri"/>
          <w:color w:val="1F2937"/>
          <w:sz w:val="22"/>
        </w:rPr>
        <w:t>General concept maps and source-status labels</w:t>
      </w:r>
    </w:p>
    <w:p>
      <w:pPr>
        <w:spacing w:before="0" w:after="80" w:line="300" w:lineRule="auto"/>
        <w:numPr>
          <w:ilvl w:val="0"/>
          <w:numId w:val="10"/>
        </w:numPr>
      </w:pPr>
      <w:r>
        <w:rPr>
          <w:rFonts w:ascii="Calibri" w:hAnsi="Calibri" w:eastAsia="Calibri"/>
          <w:color w:val="1F2937"/>
          <w:sz w:val="22"/>
        </w:rPr>
        <w:t>Accomplishment and learning log without declaring competence</w:t>
      </w:r>
    </w:p>
    <w:p>
      <w:pPr>
        <w:pStyle w:val="Heading2"/>
        <w:keepNext/>
      </w:pPr>
      <w:r>
        <w:t>3. Communication, Teamwork &amp; Advocacy Partner</w:t>
      </w:r>
    </w:p>
    <w:p>
      <w:pPr/>
      <w:r>
        <w:rPr>
          <w:rFonts w:ascii="Calibri" w:hAnsi="Calibri" w:eastAsia="Calibri"/>
          <w:i w:val="0"/>
          <w:color w:val="1F2937"/>
          <w:sz w:val="22"/>
        </w:rPr>
        <w:t>Helps prepare respectful, factual, policy-aware human communication while preserving professional judgment and the chain of command.</w:t>
      </w:r>
    </w:p>
    <w:p>
      <w:pPr>
        <w:spacing w:before="0" w:after="80" w:line="300" w:lineRule="auto"/>
        <w:numPr>
          <w:ilvl w:val="0"/>
          <w:numId w:val="10"/>
        </w:numPr>
      </w:pPr>
      <w:r>
        <w:rPr>
          <w:rFonts w:ascii="Calibri" w:hAnsi="Calibri" w:eastAsia="Calibri"/>
          <w:color w:val="1F2937"/>
          <w:sz w:val="22"/>
        </w:rPr>
        <w:t>Fact–impact–request conversation briefs</w:t>
      </w:r>
    </w:p>
    <w:p>
      <w:pPr>
        <w:spacing w:before="0" w:after="80" w:line="300" w:lineRule="auto"/>
        <w:numPr>
          <w:ilvl w:val="0"/>
          <w:numId w:val="10"/>
        </w:numPr>
      </w:pPr>
      <w:r>
        <w:rPr>
          <w:rFonts w:ascii="Calibri" w:hAnsi="Calibri" w:eastAsia="Calibri"/>
          <w:color w:val="1F2937"/>
          <w:sz w:val="22"/>
        </w:rPr>
        <w:t>Boundary, schedule, feedback, and support language</w:t>
      </w:r>
    </w:p>
    <w:p>
      <w:pPr>
        <w:spacing w:before="0" w:after="80" w:line="300" w:lineRule="auto"/>
        <w:numPr>
          <w:ilvl w:val="0"/>
          <w:numId w:val="10"/>
        </w:numPr>
      </w:pPr>
      <w:r>
        <w:rPr>
          <w:rFonts w:ascii="Calibri" w:hAnsi="Calibri" w:eastAsia="Calibri"/>
          <w:color w:val="1F2937"/>
          <w:sz w:val="22"/>
        </w:rPr>
        <w:t>General delegation verification questions—not live decisions</w:t>
      </w:r>
    </w:p>
    <w:p>
      <w:pPr>
        <w:spacing w:before="0" w:after="80" w:line="300" w:lineRule="auto"/>
        <w:numPr>
          <w:ilvl w:val="0"/>
          <w:numId w:val="10"/>
        </w:numPr>
      </w:pPr>
      <w:r>
        <w:rPr>
          <w:rFonts w:ascii="Calibri" w:hAnsi="Calibri" w:eastAsia="Calibri"/>
          <w:color w:val="1F2937"/>
          <w:sz w:val="22"/>
        </w:rPr>
        <w:t>Speaking-up and workload-concern preparation</w:t>
      </w:r>
    </w:p>
    <w:p>
      <w:pPr>
        <w:spacing w:before="0" w:after="80" w:line="300" w:lineRule="auto"/>
        <w:numPr>
          <w:ilvl w:val="0"/>
          <w:numId w:val="10"/>
        </w:numPr>
      </w:pPr>
      <w:r>
        <w:rPr>
          <w:rFonts w:ascii="Calibri" w:hAnsi="Calibri" w:eastAsia="Calibri"/>
          <w:color w:val="1F2937"/>
          <w:sz w:val="22"/>
        </w:rPr>
        <w:t>Private, nonidentifying reflection after difficult interactions</w:t>
      </w:r>
    </w:p>
    <w:p>
      <w:pPr>
        <w:pStyle w:val="Heading2"/>
        <w:keepNext/>
      </w:pPr>
      <w:r>
        <w:t>4. Credentials, Career &amp; Knowledge Infrastructure</w:t>
      </w:r>
    </w:p>
    <w:p>
      <w:pPr/>
      <w:r>
        <w:rPr>
          <w:rFonts w:ascii="Calibri" w:hAnsi="Calibri" w:eastAsia="Calibri"/>
          <w:i w:val="0"/>
          <w:color w:val="1F2937"/>
          <w:sz w:val="22"/>
        </w:rPr>
        <w:t>Builds a private, portable system for professional evidence, renewals, learning resources, career options, and future opportunities.</w:t>
      </w:r>
    </w:p>
    <w:p>
      <w:pPr>
        <w:spacing w:before="0" w:after="80" w:line="300" w:lineRule="auto"/>
        <w:numPr>
          <w:ilvl w:val="0"/>
          <w:numId w:val="10"/>
        </w:numPr>
      </w:pPr>
      <w:r>
        <w:rPr>
          <w:rFonts w:ascii="Calibri" w:hAnsi="Calibri" w:eastAsia="Calibri"/>
          <w:color w:val="1F2937"/>
          <w:sz w:val="22"/>
        </w:rPr>
        <w:t>Credential inventory and source-verified timeline</w:t>
      </w:r>
    </w:p>
    <w:p>
      <w:pPr>
        <w:spacing w:before="0" w:after="80" w:line="300" w:lineRule="auto"/>
        <w:numPr>
          <w:ilvl w:val="0"/>
          <w:numId w:val="10"/>
        </w:numPr>
      </w:pPr>
      <w:r>
        <w:rPr>
          <w:rFonts w:ascii="Calibri" w:hAnsi="Calibri" w:eastAsia="Calibri"/>
          <w:color w:val="1F2937"/>
          <w:sz w:val="22"/>
        </w:rPr>
        <w:t>Achievement bank, résumé bullets, interview stories, and portfolio</w:t>
      </w:r>
    </w:p>
    <w:p>
      <w:pPr>
        <w:spacing w:before="0" w:after="80" w:line="300" w:lineRule="auto"/>
        <w:numPr>
          <w:ilvl w:val="0"/>
          <w:numId w:val="10"/>
        </w:numPr>
      </w:pPr>
      <w:r>
        <w:rPr>
          <w:rFonts w:ascii="Calibri" w:hAnsi="Calibri" w:eastAsia="Calibri"/>
          <w:color w:val="1F2937"/>
          <w:sz w:val="22"/>
        </w:rPr>
        <w:t>Career pathway and education comparison</w:t>
      </w:r>
    </w:p>
    <w:p>
      <w:pPr>
        <w:spacing w:before="0" w:after="80" w:line="300" w:lineRule="auto"/>
        <w:numPr>
          <w:ilvl w:val="0"/>
          <w:numId w:val="10"/>
        </w:numPr>
      </w:pPr>
      <w:r>
        <w:rPr>
          <w:rFonts w:ascii="Calibri" w:hAnsi="Calibri" w:eastAsia="Calibri"/>
          <w:color w:val="1F2937"/>
          <w:sz w:val="22"/>
        </w:rPr>
        <w:t>Mentorship map and professional-association plan</w:t>
      </w:r>
    </w:p>
    <w:p>
      <w:pPr>
        <w:spacing w:before="0" w:after="80" w:line="300" w:lineRule="auto"/>
        <w:numPr>
          <w:ilvl w:val="0"/>
          <w:numId w:val="10"/>
        </w:numPr>
      </w:pPr>
      <w:r>
        <w:rPr>
          <w:rFonts w:ascii="Calibri" w:hAnsi="Calibri" w:eastAsia="Calibri"/>
          <w:color w:val="1F2937"/>
          <w:sz w:val="22"/>
        </w:rPr>
        <w:t>Compensation and opportunity information labeled time- and location-sensitive</w:t>
      </w:r>
    </w:p>
    <w:p>
      <w:pPr>
        <w:pStyle w:val="Heading2"/>
        <w:keepNext/>
      </w:pPr>
      <w:r>
        <w:t>5. Life Goals, Wellbeing &amp; Financial Orchestration</w:t>
      </w:r>
    </w:p>
    <w:p>
      <w:pPr/>
      <w:r>
        <w:rPr>
          <w:rFonts w:ascii="Calibri" w:hAnsi="Calibri" w:eastAsia="Calibri"/>
          <w:i w:val="0"/>
          <w:color w:val="1F2937"/>
          <w:sz w:val="22"/>
        </w:rPr>
        <w:t>Connects nursing work to the person, relationships, stability, purpose, joy, and future the nurse is trying to build.</w:t>
      </w:r>
    </w:p>
    <w:p>
      <w:pPr>
        <w:spacing w:before="0" w:after="80" w:line="300" w:lineRule="auto"/>
        <w:numPr>
          <w:ilvl w:val="0"/>
          <w:numId w:val="10"/>
        </w:numPr>
      </w:pPr>
      <w:r>
        <w:rPr>
          <w:rFonts w:ascii="Calibri" w:hAnsi="Calibri" w:eastAsia="Calibri"/>
          <w:color w:val="1F2937"/>
          <w:sz w:val="22"/>
        </w:rPr>
        <w:t>NURSE Compass goal map and 90-day results</w:t>
      </w:r>
    </w:p>
    <w:p>
      <w:pPr>
        <w:spacing w:before="0" w:after="80" w:line="300" w:lineRule="auto"/>
        <w:numPr>
          <w:ilvl w:val="0"/>
          <w:numId w:val="10"/>
        </w:numPr>
      </w:pPr>
      <w:r>
        <w:rPr>
          <w:rFonts w:ascii="Calibri" w:hAnsi="Calibri" w:eastAsia="Calibri"/>
          <w:color w:val="1F2937"/>
          <w:sz w:val="22"/>
        </w:rPr>
        <w:t>Sleep, recovery, movement, meals, relationships, and caregiving chosen by the nurse</w:t>
      </w:r>
    </w:p>
    <w:p>
      <w:pPr>
        <w:spacing w:before="0" w:after="80" w:line="300" w:lineRule="auto"/>
        <w:numPr>
          <w:ilvl w:val="0"/>
          <w:numId w:val="10"/>
        </w:numPr>
      </w:pPr>
      <w:r>
        <w:rPr>
          <w:rFonts w:ascii="Calibri" w:hAnsi="Calibri" w:eastAsia="Calibri"/>
          <w:color w:val="1F2937"/>
          <w:sz w:val="22"/>
        </w:rPr>
        <w:t>General savings, debt, education, housing, and major-purchase planning</w:t>
      </w:r>
    </w:p>
    <w:p>
      <w:pPr>
        <w:spacing w:before="0" w:after="80" w:line="300" w:lineRule="auto"/>
        <w:numPr>
          <w:ilvl w:val="0"/>
          <w:numId w:val="10"/>
        </w:numPr>
      </w:pPr>
      <w:r>
        <w:rPr>
          <w:rFonts w:ascii="Calibri" w:hAnsi="Calibri" w:eastAsia="Calibri"/>
          <w:color w:val="1F2937"/>
          <w:sz w:val="22"/>
        </w:rPr>
        <w:t>Support map for moral distress, injury, fatigue, or crisis</w:t>
      </w:r>
    </w:p>
    <w:p>
      <w:pPr>
        <w:spacing w:before="0" w:after="80" w:line="300" w:lineRule="auto"/>
        <w:numPr>
          <w:ilvl w:val="0"/>
          <w:numId w:val="10"/>
        </w:numPr>
      </w:pPr>
      <w:r>
        <w:rPr>
          <w:rFonts w:ascii="Calibri" w:hAnsi="Calibri" w:eastAsia="Calibri"/>
          <w:color w:val="1F2937"/>
          <w:sz w:val="22"/>
        </w:rPr>
        <w:t>Compassionate replanning without diagnosis, shame, or productivity pressure</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Capacity rule: </w:t>
      </w:r>
      <w:r>
        <w:rPr>
          <w:rFonts w:ascii="Calibri" w:hAnsi="Calibri" w:eastAsia="Calibri"/>
          <w:color w:val="1F2937"/>
          <w:sz w:val="22"/>
        </w:rPr>
        <w:t>Never schedule 100% of theoretically available time. A plan dependent on chronic exhaustion, unsafe overtime, off-the-clock work, or constant availability is not a valid plan.</w:t>
      </w:r>
    </w:p>
    <w:p>
      <w:pPr>
        <w:pStyle w:val="Heading1"/>
        <w:keepNext/>
      </w:pPr>
      <w:r>
        <w:t>The NURSE Compass for staff-nurse life goals</w:t>
      </w:r>
    </w:p>
    <w:p>
      <w:pPr>
        <w:spacing w:before="0" w:after="240" w:line="288" w:lineRule="auto"/>
      </w:pPr>
      <w:r>
        <w:rPr>
          <w:rFonts w:ascii="Calibri" w:hAnsi="Calibri" w:eastAsia="Calibri"/>
          <w:b/>
          <w:color w:val="123047"/>
          <w:sz w:val="26"/>
        </w:rPr>
        <w:t>The dashboard connects today’s next action to a larger purpose, so the nurse’s health, relationships, stability, and future do not disappear beneath the next shift.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100"/>
        <w:gridCol w:w="4300"/>
        <w:gridCol w:w="2960"/>
      </w:tblGrid>
      <w:tr>
        <w:trPr>
          <w:cantSplit/>
          <w:tblHeader w:val="true"/>
          <w:cantSplit/>
        </w:trPr>
        <w:tc>
          <w:tcPr>
            <w:tcW w:type="dxa" w:w="2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Step</w:t>
            </w:r>
          </w:p>
        </w:tc>
        <w:tc>
          <w:tcPr>
            <w:tcW w:type="dxa" w:w="4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Guiding question</w:t>
            </w:r>
          </w:p>
        </w:tc>
        <w:tc>
          <w:tcPr>
            <w:tcW w:type="dxa" w:w="29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Result</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 — Name the North Star</w:t>
            </w:r>
          </w:p>
        </w:tc>
        <w:tc>
          <w:tcPr>
            <w:tcW w:type="dxa" w:w="4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kind of nurse, colleague, family member, community member, and person do I want to become?</w:t>
            </w:r>
          </w:p>
        </w:tc>
        <w:tc>
          <w:tcPr>
            <w:tcW w:type="dxa" w:w="2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concise purpose statement</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 — Understand reality</w:t>
            </w:r>
          </w:p>
        </w:tc>
        <w:tc>
          <w:tcPr>
            <w:tcW w:type="dxa" w:w="4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responsibilities, strengths, constraints, supports, fatigue patterns, and uncertainties exist now?</w:t>
            </w:r>
          </w:p>
        </w:tc>
        <w:tc>
          <w:tcPr>
            <w:tcW w:type="dxa" w:w="2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An honest capacity map</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 — Results for 90 days</w:t>
            </w:r>
          </w:p>
        </w:tc>
        <w:tc>
          <w:tcPr>
            <w:tcW w:type="dxa" w:w="4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few professional and personal outcomes would create meaningful progress?</w:t>
            </w:r>
          </w:p>
        </w:tc>
        <w:tc>
          <w:tcPr>
            <w:tcW w:type="dxa" w:w="2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Up to three high-value results</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 — Systems and support</w:t>
            </w:r>
          </w:p>
        </w:tc>
        <w:tc>
          <w:tcPr>
            <w:tcW w:type="dxa" w:w="4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routines, people, tools, boundaries, and backup plans will help?</w:t>
            </w:r>
          </w:p>
        </w:tc>
        <w:tc>
          <w:tcPr>
            <w:tcW w:type="dxa" w:w="2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sustainable support system</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 — Evaluate and evolve</w:t>
            </w:r>
          </w:p>
        </w:tc>
        <w:tc>
          <w:tcPr>
            <w:tcW w:type="dxa" w:w="4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helping, what creates burden, and what should change without shame?</w:t>
            </w:r>
          </w:p>
        </w:tc>
        <w:tc>
          <w:tcPr>
            <w:tcW w:type="dxa" w:w="2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learning and adaptation cycle</w:t>
            </w:r>
          </w:p>
        </w:tc>
      </w:tr>
    </w:tbl>
    <w:p>
      <w:pPr>
        <w:spacing w:before="0" w:after="40"/>
      </w:pPr>
    </w:p>
    <w:p>
      <w:pPr>
        <w:spacing w:before="120" w:after="200" w:line="276" w:lineRule="auto"/>
        <w:shd w:fill="EFEEFA"/>
        <w:pBdr>
          <w:left w:val="single" w:sz="18" w:space="8" w:color="5856A6"/>
        </w:pBdr>
        <w:ind w:left="180" w:right="120"/>
      </w:pPr>
      <w:r>
        <w:rPr>
          <w:rFonts w:ascii="Calibri" w:hAnsi="Calibri" w:eastAsia="Calibri"/>
          <w:b/>
          <w:color w:val="123047"/>
          <w:sz w:val="22"/>
        </w:rPr>
        <w:t xml:space="preserve">Example North Star: </w:t>
      </w:r>
      <w:r>
        <w:rPr>
          <w:rFonts w:ascii="Calibri" w:hAnsi="Calibri" w:eastAsia="Calibri"/>
          <w:color w:val="1F2937"/>
          <w:sz w:val="22"/>
        </w:rPr>
        <w:t>Practice with skill, courage, and compassion while protecting my health, family, financial stability, and future choices.</w:t>
      </w:r>
    </w:p>
    <w:p>
      <w:pPr>
        <w:pStyle w:val="Heading2"/>
        <w:keepNext/>
      </w:pPr>
      <w:r>
        <w:t>Five planning horizons</w:t>
      </w:r>
    </w:p>
    <w:p>
      <w:pPr>
        <w:keepNext/>
        <w:spacing w:before="0" w:after="80" w:line="300" w:lineRule="auto"/>
        <w:numPr>
          <w:ilvl w:val="0"/>
          <w:numId w:val="12"/>
        </w:numPr>
      </w:pPr>
      <w:r>
        <w:rPr>
          <w:rFonts w:ascii="Calibri" w:hAnsi="Calibri" w:eastAsia="Calibri"/>
          <w:color w:val="1F2937"/>
          <w:sz w:val="22"/>
        </w:rPr>
        <w:t>Today — the next right action, the next recovery need, and one protected commitment</w:t>
      </w:r>
    </w:p>
    <w:p>
      <w:pPr>
        <w:keepNext/>
        <w:spacing w:before="0" w:after="80" w:line="300" w:lineRule="auto"/>
        <w:numPr>
          <w:ilvl w:val="0"/>
          <w:numId w:val="12"/>
        </w:numPr>
      </w:pPr>
      <w:r>
        <w:rPr>
          <w:rFonts w:ascii="Calibri" w:hAnsi="Calibri" w:eastAsia="Calibri"/>
          <w:color w:val="1F2937"/>
          <w:sz w:val="22"/>
        </w:rPr>
        <w:t>This schedule cycle — shifts, sleep transitions, family, learning, administration, finances, and restoration</w:t>
      </w:r>
    </w:p>
    <w:p>
      <w:pPr>
        <w:keepNext/>
        <w:spacing w:before="0" w:after="80" w:line="300" w:lineRule="auto"/>
        <w:numPr>
          <w:ilvl w:val="0"/>
          <w:numId w:val="12"/>
        </w:numPr>
      </w:pPr>
      <w:r>
        <w:rPr>
          <w:rFonts w:ascii="Calibri" w:hAnsi="Calibri" w:eastAsia="Calibri"/>
          <w:color w:val="1F2937"/>
          <w:sz w:val="22"/>
        </w:rPr>
        <w:t>This month — renewals, appointments, professional growth, and life-goal progress</w:t>
      </w:r>
    </w:p>
    <w:p>
      <w:pPr>
        <w:keepNext/>
        <w:spacing w:before="0" w:after="80" w:line="300" w:lineRule="auto"/>
        <w:numPr>
          <w:ilvl w:val="0"/>
          <w:numId w:val="12"/>
        </w:numPr>
      </w:pPr>
      <w:r>
        <w:rPr>
          <w:rFonts w:ascii="Calibri" w:hAnsi="Calibri" w:eastAsia="Calibri"/>
          <w:color w:val="1F2937"/>
          <w:sz w:val="22"/>
        </w:rPr>
        <w:t>The next 90 days — a small number of meaningful professional and personal results</w:t>
      </w:r>
    </w:p>
    <w:p>
      <w:pPr>
        <w:spacing w:before="0" w:after="80" w:line="300" w:lineRule="auto"/>
        <w:numPr>
          <w:ilvl w:val="0"/>
          <w:numId w:val="12"/>
        </w:numPr>
      </w:pPr>
      <w:r>
        <w:rPr>
          <w:rFonts w:ascii="Calibri" w:hAnsi="Calibri" w:eastAsia="Calibri"/>
          <w:color w:val="1F2937"/>
          <w:sz w:val="22"/>
        </w:rPr>
        <w:t>Long-term life — career, education, relationships, health, finances, community, purpose, and joy</w:t>
      </w:r>
    </w:p>
    <w:p>
      <w:pPr>
        <w:pStyle w:val="Heading1"/>
        <w:keepNext/>
      </w:pPr>
      <w:r>
        <w:t>The embedded Staff Nurse Life &amp; Practice Command Center</w:t>
      </w:r>
    </w:p>
    <w:p>
      <w:pPr>
        <w:spacing w:before="0" w:after="240" w:line="288" w:lineRule="auto"/>
      </w:pPr>
      <w:r>
        <w:rPr>
          <w:rFonts w:ascii="Calibri" w:hAnsi="Calibri" w:eastAsia="Calibri"/>
          <w:b/>
          <w:color w:val="123047"/>
          <w:sz w:val="26"/>
        </w:rPr>
        <w:t>The private dashboard should answer within one minute: What matters today? What requires a qualified human? Does the plan fit my actual energy and life? What can be deferred without guilt?</w:t>
      </w:r>
    </w:p>
    <w:p>
      <w:pPr>
        <w:spacing w:before="120" w:after="80"/>
        <w:jc w:val="center"/>
      </w:pPr>
      <w:r>
        <w:drawing>
          <wp:inline xmlns:a="http://schemas.openxmlformats.org/drawingml/2006/main" xmlns:pic="http://schemas.openxmlformats.org/drawingml/2006/picture">
            <wp:extent cx="5943600" cy="3566160"/>
            <wp:docPr id="2" name="Picture 2" descr="Illustrative dashboard using synthetic, nonclinical information. The canonical Markdown dashboard remains accessible, nurse-controlled, no-PHI, and separate from employer performance systems." title="Staff Nurse Dashboard Mockup"/>
            <wp:cNvGraphicFramePr>
              <a:graphicFrameLocks noChangeAspect="1"/>
            </wp:cNvGraphicFramePr>
            <a:graphic>
              <a:graphicData uri="http://schemas.openxmlformats.org/drawingml/2006/picture">
                <pic:pic>
                  <pic:nvPicPr>
                    <pic:cNvPr id="0" name="staff-nurse-dashboard-mockup.png"/>
                    <pic:cNvPicPr/>
                  </pic:nvPicPr>
                  <pic:blipFill>
                    <a:blip r:embed="rId12"/>
                    <a:stretch>
                      <a:fillRect/>
                    </a:stretch>
                  </pic:blipFill>
                  <pic:spPr>
                    <a:xfrm>
                      <a:off x="0" y="0"/>
                      <a:ext cx="5943600" cy="3566160"/>
                    </a:xfrm>
                    <a:prstGeom prst="rect"/>
                  </pic:spPr>
                </pic:pic>
              </a:graphicData>
            </a:graphic>
          </wp:inline>
        </w:drawing>
      </w:r>
    </w:p>
    <w:p>
      <w:pPr>
        <w:spacing w:before="0" w:after="200"/>
        <w:jc w:val="center"/>
      </w:pPr>
      <w:r>
        <w:rPr>
          <w:rFonts w:ascii="Calibri" w:hAnsi="Calibri" w:eastAsia="Calibri"/>
          <w:i/>
          <w:color w:val="5F6B76"/>
          <w:sz w:val="18"/>
        </w:rPr>
        <w:t>Illustrative dashboard using synthetic, nonclinical information. The canonical Markdown dashboard remains accessible, nurse-controlled, no-PHI, and separate from employer performance systems.</w:t>
      </w:r>
    </w:p>
    <w:p>
      <w:pPr>
        <w:pStyle w:val="Heading2"/>
        <w:keepNext/>
      </w:pPr>
      <w:r>
        <w:t>Required dashboard areas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600"/>
        <w:gridCol w:w="2900"/>
        <w:gridCol w:w="4860"/>
      </w:tblGrid>
      <w:tr>
        <w:trPr>
          <w:cantSplit/>
          <w:tblHeader w:val="true"/>
          <w:cantSplit/>
        </w:trPr>
        <w:tc>
          <w:tcPr>
            <w:tcW w:type="dxa" w:w="1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Area</w:t>
            </w:r>
          </w:p>
        </w:tc>
        <w:tc>
          <w:tcPr>
            <w:tcW w:type="dxa" w:w="2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Question answered</w:t>
            </w:r>
          </w:p>
        </w:tc>
        <w:tc>
          <w:tcPr>
            <w:tcW w:type="dxa" w:w="48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Typical content</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Today</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matters now?</w:t>
            </w:r>
          </w:p>
        </w:tc>
        <w:tc>
          <w:tcPr>
            <w:tcW w:type="dxa" w:w="4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Top Three, fixed commitments, protected recovery, Plan B</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Next shift</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personal preparation is needed?</w:t>
            </w:r>
          </w:p>
        </w:tc>
        <w:tc>
          <w:tcPr>
            <w:tcW w:type="dxa" w:w="4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Schedule, commute, essentials, meals, approved learning</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Learning</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am I developing?</w:t>
            </w:r>
          </w:p>
        </w:tc>
        <w:tc>
          <w:tcPr>
            <w:tcW w:type="dxa" w:w="4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Study plan, educator questions, source and policy verification</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Credentials</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is approaching?</w:t>
            </w:r>
          </w:p>
        </w:tc>
        <w:tc>
          <w:tcPr>
            <w:tcW w:type="dxa" w:w="4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Renewal windows, official source, next step, unverified status</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Communication</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human conversation needs preparation?</w:t>
            </w:r>
          </w:p>
        </w:tc>
        <w:tc>
          <w:tcPr>
            <w:tcW w:type="dxa" w:w="4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Purpose, facts, questions, desired outcome, escalation route</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Recovery &amp; capacity</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Does this plan fit?</w:t>
            </w:r>
          </w:p>
        </w:tc>
        <w:tc>
          <w:tcPr>
            <w:tcW w:type="dxa" w:w="4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Shift pattern, sleep opportunity, caregiving, personal time, buffer</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Career &amp; life</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What future am I building?</w:t>
            </w:r>
          </w:p>
        </w:tc>
        <w:tc>
          <w:tcPr>
            <w:tcW w:type="dxa" w:w="4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Accomplishments, education, finances, relationships, joy</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Privacy &amp; authority</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Is the OS safe and controlled?</w:t>
            </w:r>
          </w:p>
        </w:tc>
        <w:tc>
          <w:tcPr>
            <w:tcW w:type="dxa" w:w="4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No-PHI status, EDENA state, memory, sources, human decisions</w:t>
            </w:r>
          </w:p>
        </w:tc>
      </w:tr>
    </w:tbl>
    <w:p>
      <w:pPr>
        <w:spacing w:before="0" w:after="40"/>
      </w:pPr>
    </w:p>
    <w:p>
      <w:pPr>
        <w:spacing w:before="120" w:after="200" w:line="276" w:lineRule="auto"/>
        <w:shd w:fill="EFEEFA"/>
        <w:pBdr>
          <w:left w:val="single" w:sz="18" w:space="8" w:color="5856A6"/>
        </w:pBdr>
        <w:ind w:left="180" w:right="120"/>
      </w:pPr>
      <w:r>
        <w:rPr>
          <w:rFonts w:ascii="Calibri" w:hAnsi="Calibri" w:eastAsia="Calibri"/>
          <w:b/>
          <w:color w:val="123047"/>
          <w:sz w:val="22"/>
        </w:rPr>
        <w:t xml:space="preserve">Dashboard language: </w:t>
      </w:r>
      <w:r>
        <w:rPr>
          <w:rFonts w:ascii="Calibri" w:hAnsi="Calibri" w:eastAsia="Calibri"/>
          <w:color w:val="1F2937"/>
          <w:sz w:val="22"/>
        </w:rPr>
        <w:t>Use Ready, Needs nurse review, Awaiting educator, Local policy required, Needs support, Recovery protected, Paused intentionally, and Completed. No status is a judgment of worth or performance.</w:t>
      </w:r>
    </w:p>
    <w:p>
      <w:pPr>
        <w:pStyle w:val="Heading1"/>
        <w:keepNext/>
      </w:pPr>
      <w:r>
        <w:t>A shift and week in the nurse’s life</w:t>
      </w:r>
    </w:p>
    <w:p>
      <w:pPr>
        <w:pStyle w:val="Heading2"/>
        <w:keepNext/>
      </w:pPr>
      <w:r>
        <w:t>Before the shift</w:t>
      </w:r>
    </w:p>
    <w:p>
      <w:pPr/>
      <w:r>
        <w:rPr>
          <w:rFonts w:ascii="Calibri" w:hAnsi="Calibri" w:eastAsia="Calibri"/>
          <w:i w:val="0"/>
          <w:color w:val="1F2937"/>
          <w:sz w:val="22"/>
        </w:rPr>
        <w:t>The command center shows only personal readiness: schedule, commute, essentials, required administrative items, approved learning, meals, recovery, and the nurse’s chosen intention. It does not request patient assignments or encourage unpaid preparation.</w:t>
      </w:r>
    </w:p>
    <w:p>
      <w:pPr>
        <w:pStyle w:val="Heading2"/>
        <w:keepNext/>
      </w:pPr>
      <w:r>
        <w:t>During the shift</w:t>
      </w:r>
    </w:p>
    <w:p>
      <w:pPr/>
      <w:r>
        <w:rPr>
          <w:rFonts w:ascii="Calibri" w:hAnsi="Calibri" w:eastAsia="Calibri"/>
          <w:i w:val="0"/>
          <w:color w:val="1F2937"/>
          <w:sz w:val="22"/>
        </w:rPr>
        <w:t>Patient-specific care remains in the EHR, approved clinical tools, current policy, and the human team. Hermes does not receive patient information, maintain a shadow task list, or give live-care direction.</w:t>
      </w:r>
    </w:p>
    <w:p>
      <w:pPr>
        <w:pStyle w:val="Heading2"/>
        <w:keepNext/>
      </w:pPr>
      <w:r>
        <w:t>After the shift</w:t>
      </w:r>
    </w:p>
    <w:p>
      <w:pPr/>
      <w:r>
        <w:rPr>
          <w:rFonts w:ascii="Calibri" w:hAnsi="Calibri" w:eastAsia="Calibri"/>
          <w:i w:val="0"/>
          <w:color w:val="1F2937"/>
          <w:sz w:val="22"/>
        </w:rPr>
        <w:t>The OS may offer a short no-PHI close: what to release, a general learning question for later, whether an official follow-up belongs in an approved system, the next recovery action, and what can wait.</w:t>
      </w:r>
    </w:p>
    <w:p>
      <w:pPr>
        <w:pStyle w:val="Heading2"/>
        <w:keepNext/>
      </w:pPr>
      <w:r>
        <w:t>On a day off</w:t>
      </w:r>
    </w:p>
    <w:p>
      <w:pPr/>
      <w:r>
        <w:rPr>
          <w:rFonts w:ascii="Calibri" w:hAnsi="Calibri" w:eastAsia="Calibri"/>
          <w:i w:val="0"/>
          <w:color w:val="1F2937"/>
          <w:sz w:val="22"/>
        </w:rPr>
        <w:t>The default is restoration, not automatic productivity. The nurse may choose a brief learning, career, money, relationship, or life-goal action, but open time is not automatically reassigned to work.</w:t>
      </w:r>
    </w:p>
    <w:p>
      <w:pPr>
        <w:pStyle w:val="Heading2"/>
        <w:keepNext/>
      </w:pPr>
      <w:r>
        <w:t>A sustainable schedule-cycle rhythm</w:t>
      </w:r>
    </w:p>
    <w:p>
      <w:pPr>
        <w:keepNext/>
        <w:spacing w:before="0" w:after="80" w:line="300" w:lineRule="auto"/>
        <w:numPr>
          <w:ilvl w:val="0"/>
          <w:numId w:val="13"/>
        </w:numPr>
      </w:pPr>
      <w:r>
        <w:rPr>
          <w:rFonts w:ascii="Calibri" w:hAnsi="Calibri" w:eastAsia="Calibri"/>
          <w:color w:val="1F2937"/>
          <w:sz w:val="22"/>
        </w:rPr>
        <w:t>Review shifts, sleep transitions, commute, fixed commitments, caregiving, and recovery.</w:t>
      </w:r>
    </w:p>
    <w:p>
      <w:pPr>
        <w:keepNext/>
        <w:spacing w:before="0" w:after="80" w:line="300" w:lineRule="auto"/>
        <w:numPr>
          <w:ilvl w:val="0"/>
          <w:numId w:val="13"/>
        </w:numPr>
      </w:pPr>
      <w:r>
        <w:rPr>
          <w:rFonts w:ascii="Calibri" w:hAnsi="Calibri" w:eastAsia="Calibri"/>
          <w:color w:val="1F2937"/>
          <w:sz w:val="22"/>
        </w:rPr>
        <w:t>Place required learning and administration inside realistic time boundaries.</w:t>
      </w:r>
    </w:p>
    <w:p>
      <w:pPr>
        <w:keepNext/>
        <w:spacing w:before="0" w:after="80" w:line="300" w:lineRule="auto"/>
        <w:numPr>
          <w:ilvl w:val="0"/>
          <w:numId w:val="13"/>
        </w:numPr>
      </w:pPr>
      <w:r>
        <w:rPr>
          <w:rFonts w:ascii="Calibri" w:hAnsi="Calibri" w:eastAsia="Calibri"/>
          <w:color w:val="1F2937"/>
          <w:sz w:val="22"/>
        </w:rPr>
        <w:t>Protect family, health-supporting routines, relationships, and one source of joy.</w:t>
      </w:r>
    </w:p>
    <w:p>
      <w:pPr>
        <w:keepNext/>
        <w:spacing w:before="0" w:after="80" w:line="300" w:lineRule="auto"/>
        <w:numPr>
          <w:ilvl w:val="0"/>
          <w:numId w:val="13"/>
        </w:numPr>
      </w:pPr>
      <w:r>
        <w:rPr>
          <w:rFonts w:ascii="Calibri" w:hAnsi="Calibri" w:eastAsia="Calibri"/>
          <w:color w:val="1F2937"/>
          <w:sz w:val="22"/>
        </w:rPr>
        <w:t>Prepare one important professional conversation if needed.</w:t>
      </w:r>
    </w:p>
    <w:p>
      <w:pPr>
        <w:keepNext/>
        <w:spacing w:before="0" w:after="80" w:line="300" w:lineRule="auto"/>
        <w:numPr>
          <w:ilvl w:val="0"/>
          <w:numId w:val="13"/>
        </w:numPr>
      </w:pPr>
      <w:r>
        <w:rPr>
          <w:rFonts w:ascii="Calibri" w:hAnsi="Calibri" w:eastAsia="Calibri"/>
          <w:color w:val="1F2937"/>
          <w:sz w:val="22"/>
        </w:rPr>
        <w:t>Advance one learning, career, financial, or life goal.</w:t>
      </w:r>
    </w:p>
    <w:p>
      <w:pPr>
        <w:keepNext/>
        <w:spacing w:before="0" w:after="80" w:line="300" w:lineRule="auto"/>
        <w:numPr>
          <w:ilvl w:val="0"/>
          <w:numId w:val="13"/>
        </w:numPr>
      </w:pPr>
      <w:r>
        <w:rPr>
          <w:rFonts w:ascii="Calibri" w:hAnsi="Calibri" w:eastAsia="Calibri"/>
          <w:color w:val="1F2937"/>
          <w:sz w:val="22"/>
        </w:rPr>
        <w:t>Keep buffer for overtime, illness, caregiving, or emotional recovery.</w:t>
      </w:r>
    </w:p>
    <w:p>
      <w:pPr>
        <w:spacing w:before="0" w:after="80" w:line="300" w:lineRule="auto"/>
        <w:numPr>
          <w:ilvl w:val="0"/>
          <w:numId w:val="13"/>
        </w:numPr>
      </w:pPr>
      <w:r>
        <w:rPr>
          <w:rFonts w:ascii="Calibri" w:hAnsi="Calibri" w:eastAsia="Calibri"/>
          <w:color w:val="1F2937"/>
          <w:sz w:val="22"/>
        </w:rPr>
        <w:t>Close the cycle by naming progress, unresolved human decisions, and what can be released.</w:t>
      </w:r>
    </w:p>
    <w:p>
      <w:pPr>
        <w:pStyle w:val="Heading1"/>
        <w:keepNext/>
      </w:pPr>
      <w:r>
        <w:t>Clinical and practice-safety boundaries</w:t>
      </w:r>
    </w:p>
    <w:p>
      <w:pPr>
        <w:pStyle w:val="Heading2"/>
        <w:keepNext/>
      </w:pPr>
      <w:r>
        <w:t>Hermes may support</w:t>
      </w:r>
    </w:p>
    <w:p>
      <w:pPr>
        <w:spacing w:before="0" w:after="80" w:line="300" w:lineRule="auto"/>
        <w:numPr>
          <w:ilvl w:val="0"/>
          <w:numId w:val="10"/>
        </w:numPr>
      </w:pPr>
      <w:r>
        <w:rPr>
          <w:rFonts w:ascii="Calibri" w:hAnsi="Calibri" w:eastAsia="Calibri"/>
          <w:color w:val="1F2937"/>
          <w:sz w:val="22"/>
        </w:rPr>
        <w:t>General education using current, approved sources</w:t>
      </w:r>
    </w:p>
    <w:p>
      <w:pPr>
        <w:spacing w:before="0" w:after="80" w:line="300" w:lineRule="auto"/>
        <w:numPr>
          <w:ilvl w:val="0"/>
          <w:numId w:val="10"/>
        </w:numPr>
      </w:pPr>
      <w:r>
        <w:rPr>
          <w:rFonts w:ascii="Calibri" w:hAnsi="Calibri" w:eastAsia="Calibri"/>
          <w:color w:val="1F2937"/>
          <w:sz w:val="22"/>
        </w:rPr>
        <w:t>Study planning for required competencies and certifications</w:t>
      </w:r>
    </w:p>
    <w:p>
      <w:pPr>
        <w:spacing w:before="0" w:after="80" w:line="300" w:lineRule="auto"/>
        <w:numPr>
          <w:ilvl w:val="0"/>
          <w:numId w:val="10"/>
        </w:numPr>
      </w:pPr>
      <w:r>
        <w:rPr>
          <w:rFonts w:ascii="Calibri" w:hAnsi="Calibri" w:eastAsia="Calibri"/>
          <w:color w:val="1F2937"/>
          <w:sz w:val="22"/>
        </w:rPr>
        <w:t>Synthetic practice cases reviewed by an educator or preceptor</w:t>
      </w:r>
    </w:p>
    <w:p>
      <w:pPr>
        <w:spacing w:before="0" w:after="80" w:line="300" w:lineRule="auto"/>
        <w:numPr>
          <w:ilvl w:val="0"/>
          <w:numId w:val="10"/>
        </w:numPr>
      </w:pPr>
      <w:r>
        <w:rPr>
          <w:rFonts w:ascii="Calibri" w:hAnsi="Calibri" w:eastAsia="Calibri"/>
          <w:color w:val="1F2937"/>
          <w:sz w:val="22"/>
        </w:rPr>
        <w:t>Questions to bring to a charge nurse, provider, pharmacist, educator, or other qualified resource</w:t>
      </w:r>
    </w:p>
    <w:p>
      <w:pPr>
        <w:spacing w:before="0" w:after="80" w:line="300" w:lineRule="auto"/>
        <w:numPr>
          <w:ilvl w:val="0"/>
          <w:numId w:val="10"/>
        </w:numPr>
      </w:pPr>
      <w:r>
        <w:rPr>
          <w:rFonts w:ascii="Calibri" w:hAnsi="Calibri" w:eastAsia="Calibri"/>
          <w:color w:val="1F2937"/>
          <w:sz w:val="22"/>
        </w:rPr>
        <w:t>General no-PHI reflection, renewal reminders, and portfolio organization</w:t>
      </w:r>
    </w:p>
    <w:p>
      <w:pPr>
        <w:pStyle w:val="Heading2"/>
        <w:keepNext/>
      </w:pPr>
      <w:r>
        <w:t>Hermes must not</w:t>
      </w:r>
    </w:p>
    <w:p>
      <w:pPr>
        <w:spacing w:before="0" w:after="80" w:line="300" w:lineRule="auto"/>
        <w:numPr>
          <w:ilvl w:val="0"/>
          <w:numId w:val="10"/>
        </w:numPr>
      </w:pPr>
      <w:r>
        <w:rPr>
          <w:rFonts w:ascii="Calibri" w:hAnsi="Calibri" w:eastAsia="Calibri"/>
          <w:color w:val="1F2937"/>
          <w:sz w:val="22"/>
        </w:rPr>
        <w:t>Accept, repeat, transform, log, or remember patient information—even if a name was removed</w:t>
      </w:r>
    </w:p>
    <w:p>
      <w:pPr>
        <w:spacing w:before="0" w:after="80" w:line="300" w:lineRule="auto"/>
        <w:numPr>
          <w:ilvl w:val="0"/>
          <w:numId w:val="10"/>
        </w:numPr>
      </w:pPr>
      <w:r>
        <w:rPr>
          <w:rFonts w:ascii="Calibri" w:hAnsi="Calibri" w:eastAsia="Calibri"/>
          <w:color w:val="1F2937"/>
          <w:sz w:val="22"/>
        </w:rPr>
        <w:t>Assess, triage, diagnose, monitor, or prioritize an actual patient</w:t>
      </w:r>
    </w:p>
    <w:p>
      <w:pPr>
        <w:spacing w:before="0" w:after="80" w:line="300" w:lineRule="auto"/>
        <w:numPr>
          <w:ilvl w:val="0"/>
          <w:numId w:val="10"/>
        </w:numPr>
      </w:pPr>
      <w:r>
        <w:rPr>
          <w:rFonts w:ascii="Calibri" w:hAnsi="Calibri" w:eastAsia="Calibri"/>
          <w:color w:val="1F2937"/>
          <w:sz w:val="22"/>
        </w:rPr>
        <w:t>Interpret live symptoms, vital signs, laboratory results, ECGs, images, alarms, or clinical messages</w:t>
      </w:r>
    </w:p>
    <w:p>
      <w:pPr>
        <w:spacing w:before="0" w:after="80" w:line="300" w:lineRule="auto"/>
        <w:numPr>
          <w:ilvl w:val="0"/>
          <w:numId w:val="10"/>
        </w:numPr>
      </w:pPr>
      <w:r>
        <w:rPr>
          <w:rFonts w:ascii="Calibri" w:hAnsi="Calibri" w:eastAsia="Calibri"/>
          <w:color w:val="1F2937"/>
          <w:sz w:val="22"/>
        </w:rPr>
        <w:t>Recommend a medication, dose, calculation, route, timing, compatibility, hold parameter, device setting, intervention, or disposition</w:t>
      </w:r>
    </w:p>
    <w:p>
      <w:pPr>
        <w:spacing w:before="0" w:after="80" w:line="300" w:lineRule="auto"/>
        <w:numPr>
          <w:ilvl w:val="0"/>
          <w:numId w:val="10"/>
        </w:numPr>
      </w:pPr>
      <w:r>
        <w:rPr>
          <w:rFonts w:ascii="Calibri" w:hAnsi="Calibri" w:eastAsia="Calibri"/>
          <w:color w:val="1F2937"/>
          <w:sz w:val="22"/>
        </w:rPr>
        <w:t>Draft actual charting, a handoff, incident report, care plan, or patient task list</w:t>
      </w:r>
    </w:p>
    <w:p>
      <w:pPr>
        <w:spacing w:before="0" w:after="80" w:line="300" w:lineRule="auto"/>
        <w:numPr>
          <w:ilvl w:val="0"/>
          <w:numId w:val="10"/>
        </w:numPr>
      </w:pPr>
      <w:r>
        <w:rPr>
          <w:rFonts w:ascii="Calibri" w:hAnsi="Calibri" w:eastAsia="Calibri"/>
          <w:color w:val="1F2937"/>
          <w:sz w:val="22"/>
        </w:rPr>
        <w:t>Make an assignment or live delegation decision, certify competence, determine scope, or certify fitness for duty</w:t>
      </w:r>
    </w:p>
    <w:p>
      <w:pPr>
        <w:spacing w:before="0" w:after="80" w:line="300" w:lineRule="auto"/>
        <w:numPr>
          <w:ilvl w:val="0"/>
          <w:numId w:val="10"/>
        </w:numPr>
      </w:pPr>
      <w:r>
        <w:rPr>
          <w:rFonts w:ascii="Calibri" w:hAnsi="Calibri" w:eastAsia="Calibri"/>
          <w:color w:val="1F2937"/>
          <w:sz w:val="22"/>
        </w:rPr>
        <w:t>Silence, bypass, override, reprogram, or improvise with a clinical device</w:t>
      </w:r>
    </w:p>
    <w:p>
      <w:pPr>
        <w:pStyle w:val="Heading2"/>
        <w:keepNext/>
      </w:pPr>
      <w:r>
        <w:t>Safety-stop sequence</w:t>
      </w:r>
    </w:p>
    <w:p>
      <w:pPr>
        <w:keepNext/>
        <w:spacing w:before="0" w:after="80" w:line="300" w:lineRule="auto"/>
        <w:numPr>
          <w:ilvl w:val="0"/>
          <w:numId w:val="14"/>
        </w:numPr>
      </w:pPr>
      <w:r>
        <w:rPr>
          <w:rFonts w:ascii="Calibri" w:hAnsi="Calibri" w:eastAsia="Calibri"/>
          <w:color w:val="1F2937"/>
          <w:sz w:val="22"/>
        </w:rPr>
        <w:t>Stop the general AI interaction and do not enter patient details.</w:t>
      </w:r>
    </w:p>
    <w:p>
      <w:pPr>
        <w:keepNext/>
        <w:spacing w:before="0" w:after="80" w:line="300" w:lineRule="auto"/>
        <w:numPr>
          <w:ilvl w:val="0"/>
          <w:numId w:val="14"/>
        </w:numPr>
      </w:pPr>
      <w:r>
        <w:rPr>
          <w:rFonts w:ascii="Calibri" w:hAnsi="Calibri" w:eastAsia="Calibri"/>
          <w:color w:val="1F2937"/>
          <w:sz w:val="22"/>
        </w:rPr>
        <w:t>Maintain immediate safety within role and follow the approved emergency or clinical process.</w:t>
      </w:r>
    </w:p>
    <w:p>
      <w:pPr>
        <w:keepNext/>
        <w:spacing w:before="0" w:after="80" w:line="300" w:lineRule="auto"/>
        <w:numPr>
          <w:ilvl w:val="0"/>
          <w:numId w:val="14"/>
        </w:numPr>
      </w:pPr>
      <w:r>
        <w:rPr>
          <w:rFonts w:ascii="Calibri" w:hAnsi="Calibri" w:eastAsia="Calibri"/>
          <w:color w:val="1F2937"/>
          <w:sz w:val="22"/>
        </w:rPr>
        <w:t>Contact the appropriate qualified human without delay.</w:t>
      </w:r>
    </w:p>
    <w:p>
      <w:pPr>
        <w:keepNext/>
        <w:spacing w:before="0" w:after="80" w:line="300" w:lineRule="auto"/>
        <w:numPr>
          <w:ilvl w:val="0"/>
          <w:numId w:val="14"/>
        </w:numPr>
      </w:pPr>
      <w:r>
        <w:rPr>
          <w:rFonts w:ascii="Calibri" w:hAnsi="Calibri" w:eastAsia="Calibri"/>
          <w:color w:val="1F2937"/>
          <w:sz w:val="22"/>
        </w:rPr>
        <w:t>Use current orders, policy, approved references, and authorized systems.</w:t>
      </w:r>
    </w:p>
    <w:p>
      <w:pPr>
        <w:spacing w:before="0" w:after="80" w:line="300" w:lineRule="auto"/>
        <w:numPr>
          <w:ilvl w:val="0"/>
          <w:numId w:val="14"/>
        </w:numPr>
      </w:pPr>
      <w:r>
        <w:rPr>
          <w:rFonts w:ascii="Calibri" w:hAnsi="Calibri" w:eastAsia="Calibri"/>
          <w:color w:val="1F2937"/>
          <w:sz w:val="22"/>
        </w:rPr>
        <w:t>Return to Hermes later only with synthetic or fully generic learning context.</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Point-of-care rule: </w:t>
      </w:r>
      <w:r>
        <w:rPr>
          <w:rFonts w:ascii="Calibri" w:hAnsi="Calibri" w:eastAsia="Calibri"/>
          <w:color w:val="1F2937"/>
          <w:sz w:val="22"/>
        </w:rPr>
        <w:t>If you are wondering whether immediate escalation is needed, do not wait for AI. Use the organization’s criteria and human chain now.</w:t>
      </w:r>
    </w:p>
    <w:p>
      <w:pPr>
        <w:pStyle w:val="Heading1"/>
        <w:keepNext/>
      </w:pPr>
      <w:r>
        <w:t>EDENA safety and authority ladder</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00"/>
        <w:gridCol w:w="4220"/>
        <w:gridCol w:w="3840"/>
      </w:tblGrid>
      <w:tr>
        <w:trPr>
          <w:cantSplit/>
          <w:tblHeader w:val="true"/>
          <w:cantSplit/>
        </w:trPr>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State</w:t>
            </w:r>
          </w:p>
        </w:tc>
        <w:tc>
          <w:tcPr>
            <w:tcW w:type="dxa" w:w="42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Typical request</w:t>
            </w:r>
          </w:p>
        </w:tc>
        <w:tc>
          <w:tcPr>
            <w:tcW w:type="dxa" w:w="38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System response</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GREEN</w:t>
            </w:r>
          </w:p>
        </w:tc>
        <w:tc>
          <w:tcPr>
            <w:tcW w:type="dxa" w:w="42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Personal organization, synthetic learning, career and life planning</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Proceed with nurse review and minimum data.</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YELLOW</w:t>
            </w:r>
          </w:p>
        </w:tc>
        <w:tc>
          <w:tcPr>
            <w:tcW w:type="dxa" w:w="42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Policy-sensitive question, workplace communication, uncertainty, wellbeing concern</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Label uncertainty; require current source or human verification.</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ORANGE</w:t>
            </w:r>
          </w:p>
        </w:tc>
        <w:tc>
          <w:tcPr>
            <w:tcW w:type="dxa" w:w="42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Live clinical uncertainty, medication or device ambiguity, delegation, unsafe staffing, fatigue affecting practice</w:t>
            </w:r>
          </w:p>
        </w:tc>
        <w:tc>
          <w:tcPr>
            <w:tcW w:type="dxa" w:w="38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Stop ordinary workflow; contact the responsible human now.</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RED</w:t>
            </w:r>
          </w:p>
        </w:tc>
        <w:tc>
          <w:tcPr>
            <w:tcW w:type="dxa" w:w="42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Patient deterioration, active violence, self-harm or harm to others, immediate danger</w:t>
            </w:r>
          </w:p>
        </w:tc>
        <w:tc>
          <w:tcPr>
            <w:tcW w:type="dxa" w:w="38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Emergency pathway only; do not delay for AI questions.</w:t>
            </w:r>
          </w:p>
        </w:tc>
      </w:tr>
    </w:tbl>
    <w:p>
      <w:pPr>
        <w:spacing w:before="0" w:after="40"/>
      </w:pPr>
    </w:p>
    <w:p>
      <w:pPr>
        <w:pStyle w:val="Heading1"/>
        <w:keepNext/>
      </w:pPr>
      <w:r>
        <w:t>Communication, delegation, and advocacy</w:t>
      </w:r>
    </w:p>
    <w:p>
      <w:pPr>
        <w:pStyle w:val="Heading2"/>
        <w:keepNext/>
      </w:pPr>
      <w:r>
        <w:t>Communication rehearsal</w:t>
      </w:r>
    </w:p>
    <w:p>
      <w:pPr/>
      <w:r>
        <w:rPr>
          <w:rFonts w:ascii="Calibri" w:hAnsi="Calibri" w:eastAsia="Calibri"/>
          <w:i w:val="0"/>
          <w:color w:val="1F2937"/>
          <w:sz w:val="22"/>
        </w:rPr>
        <w:t>Using nonidentifying facts, Hermes may organize the conversation’s purpose, observable events, impact, desired outcome, questions, respectful opening, and escalation route. It may draft language, but it must not send, file, record, or make unsupported claims about motive, diagnosis, discrimination, retaliation, or legal liability.</w:t>
      </w:r>
    </w:p>
    <w:p>
      <w:pPr>
        <w:pStyle w:val="Heading2"/>
        <w:keepNext/>
      </w:pPr>
      <w:r>
        <w:t>Delegation preparation</w:t>
      </w:r>
    </w:p>
    <w:p>
      <w:pPr/>
      <w:r>
        <w:rPr>
          <w:rFonts w:ascii="Calibri" w:hAnsi="Calibri" w:eastAsia="Calibri"/>
          <w:i w:val="0"/>
          <w:color w:val="1F2937"/>
          <w:sz w:val="22"/>
        </w:rPr>
        <w:t>Hermes may teach a general delegation framework with synthetic examples. Before actual delegation, the nurse uses current law and policy, patient circumstance, the delegatee’s verified competence, communication, supervision, follow-up, and nursing judgment. Critical decision-making and nursing judgment cannot be delegated to AI.</w:t>
      </w:r>
    </w:p>
    <w:p>
      <w:pPr>
        <w:pStyle w:val="Heading2"/>
        <w:keepNext/>
      </w:pPr>
      <w:r>
        <w:t>Workload and safety advocacy</w:t>
      </w:r>
    </w:p>
    <w:p>
      <w:pPr/>
      <w:r>
        <w:rPr>
          <w:rFonts w:ascii="Calibri" w:hAnsi="Calibri" w:eastAsia="Calibri"/>
          <w:i w:val="0"/>
          <w:color w:val="1F2937"/>
          <w:sz w:val="22"/>
        </w:rPr>
        <w:t>The OS may help organize observable, nonidentifying concerns, find the appropriate policy owner or reporting path, and prepare neutral questions for the charge nurse, manager, safety office, ethics service, union, HR, compliance, or another approved resource. It does not determine legal rights, declare an assignment safe or unsafe, or replace official reporting and emergency action.</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Human-action rule: </w:t>
      </w:r>
      <w:r>
        <w:rPr>
          <w:rFonts w:ascii="Calibri" w:hAnsi="Calibri" w:eastAsia="Calibri"/>
          <w:color w:val="1F2937"/>
          <w:sz w:val="22"/>
        </w:rPr>
        <w:t>Official communication, documentation, reporting, delegation, escalation, and care remain deliberate human actions in approved systems.</w:t>
      </w:r>
    </w:p>
    <w:p>
      <w:pPr>
        <w:pStyle w:val="Heading1"/>
        <w:keepNext/>
      </w:pPr>
      <w:r>
        <w:t>Fatigue, workplace safety, and human support</w:t>
      </w:r>
    </w:p>
    <w:p>
      <w:pPr>
        <w:pStyle w:val="Heading2"/>
        <w:keepNext/>
      </w:pPr>
      <w:r>
        <w:t>Shift work and long hours</w:t>
      </w:r>
    </w:p>
    <w:p>
      <w:pPr/>
      <w:r>
        <w:rPr>
          <w:rFonts w:ascii="Calibri" w:hAnsi="Calibri" w:eastAsia="Calibri"/>
          <w:i w:val="0"/>
          <w:color w:val="1F2937"/>
          <w:sz w:val="22"/>
        </w:rPr>
        <w:t>Hermes may help plan sleep opportunity, meals, childcare, commuting, recovery, and schedule transitions. It may not certify fitness for duty or convert fatigue into a performance score. If fatigue may affect safe practice, use the supervisor or charge-nurse pathway and current policy. If driving feels unsafe, arrange safe transportation rather than attempting to push through.</w:t>
      </w:r>
    </w:p>
    <w:p>
      <w:pPr>
        <w:pStyle w:val="Heading2"/>
        <w:keepNext/>
      </w:pPr>
      <w:r>
        <w:t>Workplace violence or active threat</w:t>
      </w:r>
    </w:p>
    <w:p>
      <w:pPr/>
      <w:r>
        <w:rPr>
          <w:rFonts w:ascii="Calibri" w:hAnsi="Calibri" w:eastAsia="Calibri"/>
          <w:i w:val="0"/>
          <w:color w:val="1F2937"/>
          <w:sz w:val="22"/>
        </w:rPr>
        <w:t>During an active threat, move to immediate safety and use the facility alarm, security, and emergency process. Do not pause for an AI-led de-escalation plan or confront an aggressor because the OS suggested it. Afterward, Hermes may help locate approved reporting, occupational health, trauma support, employee assistance, union, or representative resources.</w:t>
      </w:r>
    </w:p>
    <w:p>
      <w:pPr>
        <w:pStyle w:val="Heading2"/>
        <w:keepNext/>
      </w:pPr>
      <w:r>
        <w:t>Personal distress or crisis</w:t>
      </w:r>
    </w:p>
    <w:p>
      <w:pPr/>
      <w:r>
        <w:rPr>
          <w:rFonts w:ascii="Calibri" w:hAnsi="Calibri" w:eastAsia="Calibri"/>
          <w:i w:val="0"/>
          <w:color w:val="1F2937"/>
          <w:sz w:val="22"/>
        </w:rPr>
        <w:t>Wellbeing prompts are not diagnosis or therapy. Possible self-harm, harm to others, severe symptoms, acute impairment, or immediate danger requires qualified human help now. In the United States, use 911 for immediate danger and call or text 988 for suicide or mental-health crisis support; outside the United States, use local emergency and crisis resources. The OS does not autonomously notify an employer.</w:t>
      </w:r>
    </w:p>
    <w:p>
      <w:pPr>
        <w:pStyle w:val="Heading2"/>
        <w:keepNext/>
      </w:pPr>
      <w:r>
        <w:t>Human support matrix</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850"/>
        <w:gridCol w:w="6510"/>
      </w:tblGrid>
      <w:tr>
        <w:trPr>
          <w:cantSplit/>
          <w:tblHeader w:val="true"/>
          <w:cantSplit/>
        </w:trPr>
        <w:tc>
          <w:tcPr>
            <w:tcW w:type="dxa" w:w="28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Situation</w:t>
            </w:r>
          </w:p>
        </w:tc>
        <w:tc>
          <w:tcPr>
            <w:tcW w:type="dxa" w:w="65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Human pathway to consider</w:t>
            </w:r>
          </w:p>
        </w:tc>
      </w:tr>
      <w:tr>
        <w:trPr>
          <w:cantSplit/>
        </w:trPr>
        <w:tc>
          <w:tcPr>
            <w:tcW w:type="dxa" w:w="2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Patient danger or clinical uncertainty</w:t>
            </w:r>
          </w:p>
        </w:tc>
        <w:tc>
          <w:tcPr>
            <w:tcW w:type="dxa" w:w="6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Charge nurse, responsible provider, pharmacist, rapid response, code or emergency pathway per policy</w:t>
            </w:r>
          </w:p>
        </w:tc>
      </w:tr>
      <w:tr>
        <w:trPr>
          <w:cantSplit/>
        </w:trPr>
        <w:tc>
          <w:tcPr>
            <w:tcW w:type="dxa" w:w="2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Scope, delegation, or policy</w:t>
            </w:r>
          </w:p>
        </w:tc>
        <w:tc>
          <w:tcPr>
            <w:tcW w:type="dxa" w:w="65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Charge nurse, supervisor, educator, manager, policy owner, regulator as appropriate</w:t>
            </w:r>
          </w:p>
        </w:tc>
      </w:tr>
      <w:tr>
        <w:trPr>
          <w:cantSplit/>
        </w:trPr>
        <w:tc>
          <w:tcPr>
            <w:tcW w:type="dxa" w:w="2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Unsafe workload or assignment concern</w:t>
            </w:r>
          </w:p>
        </w:tc>
        <w:tc>
          <w:tcPr>
            <w:tcW w:type="dxa" w:w="6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Charge nurse, manager, house supervisor, nursing administration, union or representative</w:t>
            </w:r>
          </w:p>
        </w:tc>
      </w:tr>
      <w:tr>
        <w:trPr>
          <w:cantSplit/>
        </w:trPr>
        <w:tc>
          <w:tcPr>
            <w:tcW w:type="dxa" w:w="2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Fatigue, injury, exposure, or health</w:t>
            </w:r>
          </w:p>
        </w:tc>
        <w:tc>
          <w:tcPr>
            <w:tcW w:type="dxa" w:w="65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Supervisor, occupational health, personal healthcare professional, approved employee resource</w:t>
            </w:r>
          </w:p>
        </w:tc>
      </w:tr>
      <w:tr>
        <w:trPr>
          <w:cantSplit/>
        </w:trPr>
        <w:tc>
          <w:tcPr>
            <w:tcW w:type="dxa" w:w="2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Violence, harassment, discrimination, retaliation</w:t>
            </w:r>
          </w:p>
        </w:tc>
        <w:tc>
          <w:tcPr>
            <w:tcW w:type="dxa" w:w="6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Immediate security/emergency process, manager, HR, compliance, union or qualified advice</w:t>
            </w:r>
          </w:p>
        </w:tc>
      </w:tr>
      <w:tr>
        <w:trPr>
          <w:cantSplit/>
        </w:trPr>
        <w:tc>
          <w:tcPr>
            <w:tcW w:type="dxa" w:w="2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Ethical conflict or moral distress</w:t>
            </w:r>
          </w:p>
        </w:tc>
        <w:tc>
          <w:tcPr>
            <w:tcW w:type="dxa" w:w="65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Charge nurse, manager, ethics, spiritual care, peer support, employee assistance</w:t>
            </w:r>
          </w:p>
        </w:tc>
      </w:tr>
      <w:tr>
        <w:trPr>
          <w:cantSplit/>
        </w:trPr>
        <w:tc>
          <w:tcPr>
            <w:tcW w:type="dxa" w:w="2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Licensure, legal, or employment</w:t>
            </w:r>
          </w:p>
        </w:tc>
        <w:tc>
          <w:tcPr>
            <w:tcW w:type="dxa" w:w="6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Licensing authority, professional association, union, malpractice carrier, qualified counsel</w:t>
            </w:r>
          </w:p>
        </w:tc>
      </w:tr>
      <w:tr>
        <w:trPr>
          <w:cantSplit/>
        </w:trPr>
        <w:tc>
          <w:tcPr>
            <w:tcW w:type="dxa" w:w="2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Career, education, benefits, or money</w:t>
            </w:r>
          </w:p>
        </w:tc>
        <w:tc>
          <w:tcPr>
            <w:tcW w:type="dxa" w:w="65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Mentor, educator, recruiter, school adviser, benefits office, qualified financial or tax professional</w:t>
            </w:r>
          </w:p>
        </w:tc>
      </w:tr>
    </w:tbl>
    <w:p>
      <w:pPr>
        <w:spacing w:before="0" w:after="40"/>
      </w:pPr>
    </w:p>
    <w:p>
      <w:pPr>
        <w:pStyle w:val="Heading1"/>
        <w:keepNext/>
      </w:pPr>
      <w:r>
        <w:t>Privacy, memory, and safe degraded mode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100"/>
        <w:gridCol w:w="5000"/>
        <w:gridCol w:w="2260"/>
      </w:tblGrid>
      <w:tr>
        <w:trPr>
          <w:cantSplit/>
          <w:tblHeader w:val="true"/>
          <w:cantSplit/>
        </w:trPr>
        <w:tc>
          <w:tcPr>
            <w:tcW w:type="dxa" w:w="2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Memory class</w:t>
            </w:r>
          </w:p>
        </w:tc>
        <w:tc>
          <w:tcPr>
            <w:tcW w:type="dxa" w:w="5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Examples</w:t>
            </w:r>
          </w:p>
        </w:tc>
        <w:tc>
          <w:tcPr>
            <w:tcW w:type="dxa" w:w="2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Default</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May remember with consent</w:t>
            </w:r>
          </w:p>
        </w:tc>
        <w:tc>
          <w:tcPr>
            <w:tcW w:type="dxa" w:w="5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General role, shift pattern, learning preferences, broad goals, credential dates, dashboard settings</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Approved categories</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Optional or session-only</w:t>
            </w:r>
          </w:p>
        </w:tc>
        <w:tc>
          <w:tcPr>
            <w:tcW w:type="dxa" w:w="5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Fatigue patterns, family, health scheduling, finances, workplace strain, career-search intentions</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Ask first</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Approved system only</w:t>
            </w:r>
          </w:p>
        </w:tc>
        <w:tc>
          <w:tcPr>
            <w:tcW w:type="dxa" w:w="5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Competency records, employee education, evaluations, workplace complaints, official schedules</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Restricted</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Never in a general AI workspace</w:t>
            </w:r>
          </w:p>
        </w:tc>
        <w:tc>
          <w:tcPr>
            <w:tcW w:type="dxa" w:w="5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PHI, passwords, license or government IDs, bank details, EHR exports, protected investigations</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Blocked</w:t>
            </w:r>
          </w:p>
        </w:tc>
      </w:tr>
    </w:tbl>
    <w:p>
      <w:pPr>
        <w:spacing w:before="0" w:after="40"/>
      </w:pPr>
    </w:p>
    <w:p>
      <w:pPr/>
      <w:r>
        <w:rPr>
          <w:rFonts w:ascii="Calibri" w:hAnsi="Calibri" w:eastAsia="Calibri"/>
          <w:i w:val="0"/>
          <w:color w:val="1F2937"/>
          <w:sz w:val="22"/>
        </w:rPr>
        <w:t>The nurse should be able to ask: What do you remember? Use this session only. Who can access this? Show the retention date. Export my plan. Correct this. Forget this. Reset my dashboard. Pause all automations.</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Private by default: </w:t>
      </w:r>
      <w:r>
        <w:rPr>
          <w:rFonts w:ascii="Calibri" w:hAnsi="Calibri" w:eastAsia="Calibri"/>
          <w:color w:val="1F2937"/>
          <w:sz w:val="22"/>
        </w:rPr>
        <w:t>Health, disability, pregnancy, family, finances, recovery, union activity, job-search intentions, and career uncertainty do not appear in employer analytics unless the nurse deliberately shares a specific item through an approved process.</w:t>
      </w:r>
    </w:p>
    <w:p>
      <w:pPr>
        <w:pStyle w:val="Heading2"/>
        <w:keepNext/>
      </w:pPr>
      <w:r>
        <w:t>When trusted tools or sources fail</w:t>
      </w:r>
    </w:p>
    <w:p>
      <w:pPr/>
      <w:r>
        <w:rPr>
          <w:rFonts w:ascii="Calibri" w:hAnsi="Calibri" w:eastAsia="Calibri"/>
          <w:i w:val="0"/>
          <w:color w:val="1F2937"/>
          <w:sz w:val="22"/>
        </w:rPr>
        <w:t>Clinical and policy-dependent functions fail closed. The dashboard displays “Unavailable—use unit resources,” disables sending and automation, retains only nurse-configured emergency contacts and nonclinical checklists, and does not substitute cached clinical content. Personal planning may continue only when it does not depend on the failed source or connection.</w:t>
      </w:r>
    </w:p>
    <w:p>
      <w:pPr>
        <w:pStyle w:val="Heading1"/>
        <w:keepNext/>
      </w:pPr>
      <w:r>
        <w:t>90-day staff-nurse rollout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1300"/>
        <w:gridCol w:w="4070"/>
        <w:gridCol w:w="209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Phase</w:t>
            </w:r>
          </w:p>
        </w:tc>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Timing</w:t>
            </w:r>
          </w:p>
        </w:tc>
        <w:tc>
          <w:tcPr>
            <w:tcW w:type="dxa" w:w="407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Primary work</w:t>
            </w:r>
          </w:p>
        </w:tc>
        <w:tc>
          <w:tcPr>
            <w:tcW w:type="dxa" w:w="209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Evidence</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Trust and boundaries</w:t>
            </w:r>
          </w:p>
        </w:tc>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1–14</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Role, no PHI, clinical stops, privacy, memory, North Star, capacity, one pilot</w:t>
            </w:r>
          </w:p>
        </w:tc>
        <w:tc>
          <w:tcPr>
            <w:tcW w:type="dxa" w:w="20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Compact and synthetic dashboard</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Command rhythm</w:t>
            </w:r>
          </w:p>
        </w:tc>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15–30</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Weekly reset, shift transitions, protected recovery, one learning or life-goal workflow</w:t>
            </w:r>
          </w:p>
        </w:tc>
        <w:tc>
          <w:tcPr>
            <w:tcW w:type="dxa" w:w="20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Reliable plan and Plan B</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Validate support</w:t>
            </w:r>
          </w:p>
        </w:tc>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31–60</w:t>
            </w:r>
          </w:p>
        </w:tc>
        <w:tc>
          <w:tcPr>
            <w:tcW w:type="dxa" w:w="407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Communication, learning, renewal, portfolio, or career workflows</w:t>
            </w:r>
          </w:p>
        </w:tc>
        <w:tc>
          <w:tcPr>
            <w:tcW w:type="dxa" w:w="20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Usefulness, corrections, review burden, trust</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Expand carefully</w:t>
            </w:r>
          </w:p>
        </w:tc>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Days 61–90</w:t>
            </w:r>
          </w:p>
        </w:tc>
        <w:tc>
          <w:tcPr>
            <w:tcW w:type="dxa" w:w="407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One career, money, relationship, or life goal; privacy and workload review</w:t>
            </w:r>
          </w:p>
        </w:tc>
        <w:tc>
          <w:tcPr>
            <w:tcW w:type="dxa" w:w="20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Nurse-controlled activation report</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Start small: </w:t>
      </w:r>
      <w:r>
        <w:rPr>
          <w:rFonts w:ascii="Calibri" w:hAnsi="Calibri" w:eastAsia="Calibri"/>
          <w:color w:val="1F2937"/>
          <w:sz w:val="22"/>
        </w:rPr>
        <w:t>Pilot one low-risk use: a weekly plan, credential study schedule, manager-conversation brief, portfolio item, or private life goal. Expand only when the benefit exceeds review burden and risk.</w:t>
      </w:r>
    </w:p>
    <w:p>
      <w:pPr>
        <w:pStyle w:val="Heading1"/>
        <w:keepNext/>
      </w:pPr>
      <w:r>
        <w:t>Nurse-controlled outcome measures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00"/>
        <w:gridCol w:w="4250"/>
        <w:gridCol w:w="3410"/>
      </w:tblGrid>
      <w:tr>
        <w:trPr>
          <w:cantSplit/>
          <w:tblHeader w:val="true"/>
          <w:cantSplit/>
        </w:trPr>
        <w:tc>
          <w:tcPr>
            <w:tcW w:type="dxa" w:w="1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Domain</w:t>
            </w:r>
          </w:p>
        </w:tc>
        <w:tc>
          <w:tcPr>
            <w:tcW w:type="dxa" w:w="42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Possible measure</w:t>
            </w:r>
          </w:p>
        </w:tc>
        <w:tc>
          <w:tcPr>
            <w:tcW w:type="dxa" w:w="34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Safeguard</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Agency</w:t>
            </w:r>
          </w:p>
        </w:tc>
        <w:tc>
          <w:tcPr>
            <w:tcW w:type="dxa" w:w="4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Nurse-rated clarity and control</w:t>
            </w:r>
          </w:p>
        </w:tc>
        <w:tc>
          <w:tcPr>
            <w:tcW w:type="dxa" w:w="3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Never a performance score</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Burden</w:t>
            </w:r>
          </w:p>
        </w:tc>
        <w:tc>
          <w:tcPr>
            <w:tcW w:type="dxa" w:w="4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Coordination time or post-shift spillover</w:t>
            </w:r>
          </w:p>
        </w:tc>
        <w:tc>
          <w:tcPr>
            <w:tcW w:type="dxa" w:w="34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Do not manufacture hours saved</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Recovery</w:t>
            </w:r>
          </w:p>
        </w:tc>
        <w:tc>
          <w:tcPr>
            <w:tcW w:type="dxa" w:w="4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Protected recovery commitments kept</w:t>
            </w:r>
          </w:p>
        </w:tc>
        <w:tc>
          <w:tcPr>
            <w:tcW w:type="dxa" w:w="3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Optional and private</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Learning</w:t>
            </w:r>
          </w:p>
        </w:tc>
        <w:tc>
          <w:tcPr>
            <w:tcW w:type="dxa" w:w="4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Approved milestones and human verification completed</w:t>
            </w:r>
          </w:p>
        </w:tc>
        <w:tc>
          <w:tcPr>
            <w:tcW w:type="dxa" w:w="34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Completion is not competence</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Communication</w:t>
            </w:r>
          </w:p>
        </w:tc>
        <w:tc>
          <w:tcPr>
            <w:tcW w:type="dxa" w:w="4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Nurse-rated readiness for important conversations</w:t>
            </w:r>
          </w:p>
        </w:tc>
        <w:tc>
          <w:tcPr>
            <w:tcW w:type="dxa" w:w="3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 surveillance of drafts</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Career</w:t>
            </w:r>
          </w:p>
        </w:tc>
        <w:tc>
          <w:tcPr>
            <w:tcW w:type="dxa" w:w="4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Portfolio, mentoring, certification, or application progress</w:t>
            </w:r>
          </w:p>
        </w:tc>
        <w:tc>
          <w:tcPr>
            <w:tcW w:type="dxa" w:w="34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Intentions remain nurse-owned</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Whole life</w:t>
            </w:r>
          </w:p>
        </w:tc>
        <w:tc>
          <w:tcPr>
            <w:tcW w:type="dxa" w:w="4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Progress toward nurse-selected personal goals</w:t>
            </w:r>
          </w:p>
        </w:tc>
        <w:tc>
          <w:tcPr>
            <w:tcW w:type="dxa" w:w="3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Not shared without consent</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Trust &amp; safety</w:t>
            </w:r>
          </w:p>
        </w:tc>
        <w:tc>
          <w:tcPr>
            <w:tcW w:type="dxa" w:w="4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Corrections, declined suggestions, privacy events, required human checkpoints</w:t>
            </w:r>
          </w:p>
        </w:tc>
        <w:tc>
          <w:tcPr>
            <w:tcW w:type="dxa" w:w="34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Declining AI is valid</w:t>
            </w:r>
          </w:p>
        </w:tc>
      </w:tr>
    </w:tbl>
    <w:p>
      <w:pPr>
        <w:spacing w:before="0" w:after="40"/>
      </w:pPr>
    </w:p>
    <w:p>
      <w:pPr/>
      <w:r>
        <w:rPr>
          <w:rFonts w:ascii="Calibri" w:hAnsi="Calibri" w:eastAsia="Calibri"/>
          <w:i w:val="0"/>
          <w:color w:val="1F2937"/>
          <w:sz w:val="22"/>
        </w:rPr>
        <w:t>Success means greater agency, clearer preparation, visible growth, lower avoidable burden, protected recovery, and sustainable progress—not usage volume, constant availability, overtime accepted, or a composite productivity score.</w:t>
      </w:r>
    </w:p>
    <w:p>
      <w:pPr>
        <w:pStyle w:val="Heading1"/>
        <w:keepNext/>
      </w:pPr>
      <w:r>
        <w:t>Frequently asked questions</w:t>
      </w:r>
    </w:p>
    <w:p>
      <w:pPr>
        <w:pStyle w:val="Heading2"/>
        <w:keepNext/>
      </w:pPr>
      <w:r>
        <w:t>Will Hermes replace the staff nurse?</w:t>
      </w:r>
    </w:p>
    <w:p>
      <w:pPr/>
      <w:r>
        <w:rPr>
          <w:rFonts w:ascii="Calibri" w:hAnsi="Calibri" w:eastAsia="Calibri"/>
          <w:i w:val="0"/>
          <w:color w:val="1F2937"/>
          <w:sz w:val="22"/>
        </w:rPr>
        <w:t>No. It cannot assess patients, deliver care, provide accountable clinical judgment, advocate in real time, or create the human relationships on which nursing depends.</w:t>
      </w:r>
    </w:p>
    <w:p>
      <w:pPr>
        <w:pStyle w:val="Heading2"/>
        <w:keepNext/>
      </w:pPr>
      <w:r>
        <w:t>Can I enter patient information?</w:t>
      </w:r>
    </w:p>
    <w:p>
      <w:pPr/>
      <w:r>
        <w:rPr>
          <w:rFonts w:ascii="Calibri" w:hAnsi="Calibri" w:eastAsia="Calibri"/>
          <w:i w:val="0"/>
          <w:color w:val="1F2937"/>
          <w:sz w:val="22"/>
        </w:rPr>
        <w:t>No. Patient information belongs only in approved clinical systems. Removing a name alone does not make a narrative safe for a personal AI workspace.</w:t>
      </w:r>
    </w:p>
    <w:p>
      <w:pPr>
        <w:pStyle w:val="Heading2"/>
        <w:keepNext/>
      </w:pPr>
      <w:r>
        <w:t>Can it answer a patient-care question?</w:t>
      </w:r>
    </w:p>
    <w:p>
      <w:pPr/>
      <w:r>
        <w:rPr>
          <w:rFonts w:ascii="Calibri" w:hAnsi="Calibri" w:eastAsia="Calibri"/>
          <w:i w:val="0"/>
          <w:color w:val="1F2937"/>
          <w:sz w:val="22"/>
        </w:rPr>
        <w:t>The staff-nurse function does not provide live-care direction. Use current orders, policy, approved references, the charge nurse, provider, pharmacist, rapid response, or emergency chain.</w:t>
      </w:r>
    </w:p>
    <w:p>
      <w:pPr>
        <w:pStyle w:val="Heading2"/>
        <w:keepNext/>
      </w:pPr>
      <w:r>
        <w:t>Can it help with delegation?</w:t>
      </w:r>
    </w:p>
    <w:p>
      <w:pPr/>
      <w:r>
        <w:rPr>
          <w:rFonts w:ascii="Calibri" w:hAnsi="Calibri" w:eastAsia="Calibri"/>
          <w:i w:val="0"/>
          <w:color w:val="1F2937"/>
          <w:sz w:val="22"/>
        </w:rPr>
        <w:t>It can teach and rehearse general principles with synthetic cases. The nurse makes the actual decision under current law, policy, patient circumstances, team capability, communication, supervision, and required follow-up.</w:t>
      </w:r>
    </w:p>
    <w:p>
      <w:pPr>
        <w:pStyle w:val="Heading2"/>
        <w:keepNext/>
      </w:pPr>
      <w:r>
        <w:t>Can it write my charting or handoff?</w:t>
      </w:r>
    </w:p>
    <w:p>
      <w:pPr/>
      <w:r>
        <w:rPr>
          <w:rFonts w:ascii="Calibri" w:hAnsi="Calibri" w:eastAsia="Calibri"/>
          <w:i w:val="0"/>
          <w:color w:val="1F2937"/>
          <w:sz w:val="22"/>
        </w:rPr>
        <w:t>No. It must not receive patient data or draft an actual chart note, handoff, incident report, or patient task list in the personal OS.</w:t>
      </w:r>
    </w:p>
    <w:p>
      <w:pPr>
        <w:pStyle w:val="Heading2"/>
        <w:keepNext/>
      </w:pPr>
      <w:r>
        <w:t>Can it prepare a difficult conversation?</w:t>
      </w:r>
    </w:p>
    <w:p>
      <w:pPr/>
      <w:r>
        <w:rPr>
          <w:rFonts w:ascii="Calibri" w:hAnsi="Calibri" w:eastAsia="Calibri"/>
          <w:i w:val="0"/>
          <w:color w:val="1F2937"/>
          <w:sz w:val="22"/>
        </w:rPr>
        <w:t>Yes. It can organize nonidentifying facts, questions, boundaries, desired outcomes, and respectful language. The nurse chooses what to say and which approved channel to use.</w:t>
      </w:r>
    </w:p>
    <w:p>
      <w:pPr>
        <w:pStyle w:val="Heading2"/>
        <w:keepNext/>
      </w:pPr>
      <w:r>
        <w:t>Can my manager see my dashboard?</w:t>
      </w:r>
    </w:p>
    <w:p>
      <w:pPr/>
      <w:r>
        <w:rPr>
          <w:rFonts w:ascii="Calibri" w:hAnsi="Calibri" w:eastAsia="Calibri"/>
          <w:i w:val="0"/>
          <w:color w:val="1F2937"/>
          <w:sz w:val="22"/>
        </w:rPr>
        <w:t>The private dashboard is not an employer tool. Institutional implementations must make access explicit, minimal, revocable, and auditable; private life data stay blocked by default.</w:t>
      </w:r>
    </w:p>
    <w:p>
      <w:pPr>
        <w:pStyle w:val="Heading2"/>
        <w:keepNext/>
      </w:pPr>
      <w:r>
        <w:t>Can it decide whether I am burned out or fit to work?</w:t>
      </w:r>
    </w:p>
    <w:p>
      <w:pPr/>
      <w:r>
        <w:rPr>
          <w:rFonts w:ascii="Calibri" w:hAnsi="Calibri" w:eastAsia="Calibri"/>
          <w:i w:val="0"/>
          <w:color w:val="1F2937"/>
          <w:sz w:val="22"/>
        </w:rPr>
        <w:t>No. It may help the nurse notice self-reported capacity and identify human support, but it cannot diagnose or certify fitness for duty.</w:t>
      </w:r>
    </w:p>
    <w:p>
      <w:pPr>
        <w:pStyle w:val="Heading2"/>
        <w:keepNext/>
      </w:pPr>
      <w:r>
        <w:t>What if the AI is wrong or unavailable?</w:t>
      </w:r>
    </w:p>
    <w:p>
      <w:pPr/>
      <w:r>
        <w:rPr>
          <w:rFonts w:ascii="Calibri" w:hAnsi="Calibri" w:eastAsia="Calibri"/>
          <w:i w:val="0"/>
          <w:color w:val="1F2937"/>
          <w:sz w:val="22"/>
        </w:rPr>
        <w:t>Stop, correct it, and verify with an authoritative source or qualified human. Policy- and safety-sensitive functions fail closed rather than substituting stale content.</w:t>
      </w:r>
    </w:p>
    <w:p>
      <w:pPr>
        <w:pStyle w:val="Heading2"/>
        <w:keepNext/>
      </w:pPr>
      <w:r>
        <w:t>Do I have to share personal goals?</w:t>
      </w:r>
    </w:p>
    <w:p>
      <w:pPr/>
      <w:r>
        <w:rPr>
          <w:rFonts w:ascii="Calibri" w:hAnsi="Calibri" w:eastAsia="Calibri"/>
          <w:i w:val="0"/>
          <w:color w:val="1F2937"/>
          <w:sz w:val="22"/>
        </w:rPr>
        <w:t>No. Life-goal support is optional. The nurse controls what is stored, what is session-only, and what—if anything—is shared.</w:t>
      </w:r>
    </w:p>
    <w:p>
      <w:pPr>
        <w:pStyle w:val="Heading1"/>
        <w:keepNext/>
      </w:pPr>
      <w:r>
        <w:t>Activation checklist</w:t>
      </w:r>
    </w:p>
    <w:p>
      <w:pPr>
        <w:spacing w:before="0" w:after="80" w:line="300" w:lineRule="auto"/>
        <w:numPr>
          <w:ilvl w:val="0"/>
          <w:numId w:val="10"/>
        </w:numPr>
      </w:pPr>
      <w:r>
        <w:rPr>
          <w:rFonts w:ascii="Calibri" w:hAnsi="Calibri" w:eastAsia="Calibri"/>
          <w:color w:val="1F2937"/>
          <w:sz w:val="22"/>
        </w:rPr>
        <w:t>Define the nurse’s role, broad setting, schedule pattern, and human authorities.</w:t>
      </w:r>
    </w:p>
    <w:p>
      <w:pPr>
        <w:spacing w:before="0" w:after="80" w:line="300" w:lineRule="auto"/>
        <w:numPr>
          <w:ilvl w:val="0"/>
          <w:numId w:val="10"/>
        </w:numPr>
      </w:pPr>
      <w:r>
        <w:rPr>
          <w:rFonts w:ascii="Calibri" w:hAnsi="Calibri" w:eastAsia="Calibri"/>
          <w:color w:val="1F2937"/>
          <w:sz w:val="22"/>
        </w:rPr>
        <w:t>Establish the permanent no-PHI and no-live-care rules.</w:t>
      </w:r>
    </w:p>
    <w:p>
      <w:pPr>
        <w:spacing w:before="0" w:after="80" w:line="300" w:lineRule="auto"/>
        <w:numPr>
          <w:ilvl w:val="0"/>
          <w:numId w:val="10"/>
        </w:numPr>
      </w:pPr>
      <w:r>
        <w:rPr>
          <w:rFonts w:ascii="Calibri" w:hAnsi="Calibri" w:eastAsia="Calibri"/>
          <w:color w:val="1F2937"/>
          <w:sz w:val="22"/>
        </w:rPr>
        <w:t>Configure the clinical, workplace-safety, fatigue, and crisis escalation paths.</w:t>
      </w:r>
    </w:p>
    <w:p>
      <w:pPr>
        <w:spacing w:before="0" w:after="80" w:line="300" w:lineRule="auto"/>
        <w:numPr>
          <w:ilvl w:val="0"/>
          <w:numId w:val="10"/>
        </w:numPr>
      </w:pPr>
      <w:r>
        <w:rPr>
          <w:rFonts w:ascii="Calibri" w:hAnsi="Calibri" w:eastAsia="Calibri"/>
          <w:color w:val="1F2937"/>
          <w:sz w:val="22"/>
        </w:rPr>
        <w:t>Review applicable policy, scope, privacy, employment, education, and accessibility requirements.</w:t>
      </w:r>
    </w:p>
    <w:p>
      <w:pPr>
        <w:spacing w:before="0" w:after="80" w:line="300" w:lineRule="auto"/>
        <w:numPr>
          <w:ilvl w:val="0"/>
          <w:numId w:val="10"/>
        </w:numPr>
      </w:pPr>
      <w:r>
        <w:rPr>
          <w:rFonts w:ascii="Calibri" w:hAnsi="Calibri" w:eastAsia="Calibri"/>
          <w:color w:val="1F2937"/>
          <w:sz w:val="22"/>
        </w:rPr>
        <w:t>Choose permitted memory categories and create a Do Not Remember list.</w:t>
      </w:r>
    </w:p>
    <w:p>
      <w:pPr>
        <w:spacing w:before="0" w:after="80" w:line="300" w:lineRule="auto"/>
        <w:numPr>
          <w:ilvl w:val="0"/>
          <w:numId w:val="10"/>
        </w:numPr>
      </w:pPr>
      <w:r>
        <w:rPr>
          <w:rFonts w:ascii="Calibri" w:hAnsi="Calibri" w:eastAsia="Calibri"/>
          <w:color w:val="1F2937"/>
          <w:sz w:val="22"/>
        </w:rPr>
        <w:t>Name a North Star and up to three 90-day results.</w:t>
      </w:r>
    </w:p>
    <w:p>
      <w:pPr>
        <w:spacing w:before="0" w:after="80" w:line="300" w:lineRule="auto"/>
        <w:numPr>
          <w:ilvl w:val="0"/>
          <w:numId w:val="10"/>
        </w:numPr>
      </w:pPr>
      <w:r>
        <w:rPr>
          <w:rFonts w:ascii="Calibri" w:hAnsi="Calibri" w:eastAsia="Calibri"/>
          <w:color w:val="1F2937"/>
          <w:sz w:val="22"/>
        </w:rPr>
        <w:t>Map shifts, commute, caregiving, learning, sleep opportunity, recovery, and buffer.</w:t>
      </w:r>
    </w:p>
    <w:p>
      <w:pPr>
        <w:spacing w:before="0" w:after="80" w:line="300" w:lineRule="auto"/>
        <w:numPr>
          <w:ilvl w:val="0"/>
          <w:numId w:val="10"/>
        </w:numPr>
      </w:pPr>
      <w:r>
        <w:rPr>
          <w:rFonts w:ascii="Calibri" w:hAnsi="Calibri" w:eastAsia="Calibri"/>
          <w:color w:val="1F2937"/>
          <w:sz w:val="22"/>
        </w:rPr>
        <w:t>Protect one personal commitment and one recovery period.</w:t>
      </w:r>
    </w:p>
    <w:p>
      <w:pPr>
        <w:spacing w:before="0" w:after="80" w:line="300" w:lineRule="auto"/>
        <w:numPr>
          <w:ilvl w:val="0"/>
          <w:numId w:val="10"/>
        </w:numPr>
      </w:pPr>
      <w:r>
        <w:rPr>
          <w:rFonts w:ascii="Calibri" w:hAnsi="Calibri" w:eastAsia="Calibri"/>
          <w:color w:val="1F2937"/>
          <w:sz w:val="22"/>
        </w:rPr>
        <w:t>Choose one low-risk pilot workflow and keep automations off until approved.</w:t>
      </w:r>
    </w:p>
    <w:p>
      <w:pPr>
        <w:spacing w:before="0" w:after="80" w:line="300" w:lineRule="auto"/>
        <w:numPr>
          <w:ilvl w:val="0"/>
          <w:numId w:val="10"/>
        </w:numPr>
      </w:pPr>
      <w:r>
        <w:rPr>
          <w:rFonts w:ascii="Calibri" w:hAnsi="Calibri" w:eastAsia="Calibri"/>
          <w:color w:val="1F2937"/>
          <w:sz w:val="22"/>
        </w:rPr>
        <w:t>Confirm export, correction, retention, deletion, isolation, and safe-degraded-mode controls.</w:t>
      </w:r>
    </w:p>
    <w:p>
      <w:pPr>
        <w:spacing w:before="0" w:after="80" w:line="300" w:lineRule="auto"/>
        <w:numPr>
          <w:ilvl w:val="0"/>
          <w:numId w:val="10"/>
        </w:numPr>
      </w:pPr>
      <w:r>
        <w:rPr>
          <w:rFonts w:ascii="Calibri" w:hAnsi="Calibri" w:eastAsia="Calibri"/>
          <w:color w:val="1F2937"/>
          <w:sz w:val="22"/>
        </w:rPr>
        <w:t>Run the acceptance tests and schedule a 30-day continue, revise, pause, or stop decision.</w:t>
      </w:r>
    </w:p>
    <w:p>
      <w:pPr>
        <w:pStyle w:val="Heading2"/>
        <w:keepNext/>
      </w:pPr>
      <w:r>
        <w:t>Recommended first commands</w:t>
      </w:r>
    </w:p>
    <w:p>
      <w:pPr>
        <w:spacing w:before="0" w:after="80" w:line="300" w:lineRule="auto"/>
        <w:numPr>
          <w:ilvl w:val="0"/>
          <w:numId w:val="10"/>
        </w:numPr>
      </w:pPr>
      <w:r>
        <w:rPr>
          <w:rFonts w:ascii="Calibri" w:hAnsi="Calibri" w:eastAsia="Calibri"/>
          <w:color w:val="1F2937"/>
          <w:sz w:val="22"/>
        </w:rPr>
        <w:t>Build my private staff-nurse dashboard around my real schedule, boundaries, and life goals.</w:t>
      </w:r>
    </w:p>
    <w:p>
      <w:pPr>
        <w:spacing w:before="0" w:after="80" w:line="300" w:lineRule="auto"/>
        <w:numPr>
          <w:ilvl w:val="0"/>
          <w:numId w:val="10"/>
        </w:numPr>
      </w:pPr>
      <w:r>
        <w:rPr>
          <w:rFonts w:ascii="Calibri" w:hAnsi="Calibri" w:eastAsia="Calibri"/>
          <w:color w:val="1F2937"/>
          <w:sz w:val="22"/>
        </w:rPr>
        <w:t>Plan this schedule cycle around these shifts and fixed commitments. Protect recovery and show what must move.</w:t>
      </w:r>
    </w:p>
    <w:p>
      <w:pPr>
        <w:spacing w:before="0" w:after="80" w:line="300" w:lineRule="auto"/>
        <w:numPr>
          <w:ilvl w:val="0"/>
          <w:numId w:val="10"/>
        </w:numPr>
      </w:pPr>
      <w:r>
        <w:rPr>
          <w:rFonts w:ascii="Calibri" w:hAnsi="Calibri" w:eastAsia="Calibri"/>
          <w:color w:val="1F2937"/>
          <w:sz w:val="22"/>
        </w:rPr>
        <w:t>Create a minimum viable week for reduced capacity.</w:t>
      </w:r>
    </w:p>
    <w:p>
      <w:pPr>
        <w:spacing w:before="0" w:after="80" w:line="300" w:lineRule="auto"/>
        <w:numPr>
          <w:ilvl w:val="0"/>
          <w:numId w:val="10"/>
        </w:numPr>
      </w:pPr>
      <w:r>
        <w:rPr>
          <w:rFonts w:ascii="Calibri" w:hAnsi="Calibri" w:eastAsia="Calibri"/>
          <w:color w:val="1F2937"/>
          <w:sz w:val="22"/>
        </w:rPr>
        <w:t>Build a study plan from these approved education resources.</w:t>
      </w:r>
    </w:p>
    <w:p>
      <w:pPr>
        <w:spacing w:before="0" w:after="80" w:line="300" w:lineRule="auto"/>
        <w:numPr>
          <w:ilvl w:val="0"/>
          <w:numId w:val="10"/>
        </w:numPr>
      </w:pPr>
      <w:r>
        <w:rPr>
          <w:rFonts w:ascii="Calibri" w:hAnsi="Calibri" w:eastAsia="Calibri"/>
          <w:color w:val="1F2937"/>
          <w:sz w:val="22"/>
        </w:rPr>
        <w:t>Prepare questions for my preceptor or educator without giving patient-care advice.</w:t>
      </w:r>
    </w:p>
    <w:p>
      <w:pPr>
        <w:spacing w:before="0" w:after="80" w:line="300" w:lineRule="auto"/>
        <w:numPr>
          <w:ilvl w:val="0"/>
          <w:numId w:val="10"/>
        </w:numPr>
      </w:pPr>
      <w:r>
        <w:rPr>
          <w:rFonts w:ascii="Calibri" w:hAnsi="Calibri" w:eastAsia="Calibri"/>
          <w:color w:val="1F2937"/>
          <w:sz w:val="22"/>
        </w:rPr>
        <w:t>Help me rehearse a difficult professional conversation using nonidentifying facts.</w:t>
      </w:r>
    </w:p>
    <w:p>
      <w:pPr>
        <w:spacing w:before="0" w:after="80" w:line="300" w:lineRule="auto"/>
        <w:numPr>
          <w:ilvl w:val="0"/>
          <w:numId w:val="10"/>
        </w:numPr>
      </w:pPr>
      <w:r>
        <w:rPr>
          <w:rFonts w:ascii="Calibri" w:hAnsi="Calibri" w:eastAsia="Calibri"/>
          <w:color w:val="1F2937"/>
          <w:sz w:val="22"/>
        </w:rPr>
        <w:t>Organize my certifications, continuing education, and renewal dates for official verification.</w:t>
      </w:r>
    </w:p>
    <w:p>
      <w:pPr>
        <w:spacing w:before="0" w:after="80" w:line="300" w:lineRule="auto"/>
        <w:numPr>
          <w:ilvl w:val="0"/>
          <w:numId w:val="10"/>
        </w:numPr>
      </w:pPr>
      <w:r>
        <w:rPr>
          <w:rFonts w:ascii="Calibri" w:hAnsi="Calibri" w:eastAsia="Calibri"/>
          <w:color w:val="1F2937"/>
          <w:sz w:val="22"/>
        </w:rPr>
        <w:t>Build a nurse-owned portfolio from these verified accomplishments.</w:t>
      </w:r>
    </w:p>
    <w:p>
      <w:pPr>
        <w:spacing w:before="0" w:after="80" w:line="300" w:lineRule="auto"/>
        <w:numPr>
          <w:ilvl w:val="0"/>
          <w:numId w:val="10"/>
        </w:numPr>
      </w:pPr>
      <w:r>
        <w:rPr>
          <w:rFonts w:ascii="Calibri" w:hAnsi="Calibri" w:eastAsia="Calibri"/>
          <w:color w:val="1F2937"/>
          <w:sz w:val="22"/>
        </w:rPr>
        <w:t>Compare these career paths and show assumptions, tradeoffs, and questions for a human mentor.</w:t>
      </w:r>
    </w:p>
    <w:p>
      <w:pPr>
        <w:spacing w:before="0" w:after="80" w:line="300" w:lineRule="auto"/>
        <w:numPr>
          <w:ilvl w:val="0"/>
          <w:numId w:val="10"/>
        </w:numPr>
      </w:pPr>
      <w:r>
        <w:rPr>
          <w:rFonts w:ascii="Calibri" w:hAnsi="Calibri" w:eastAsia="Calibri"/>
          <w:color w:val="1F2937"/>
          <w:sz w:val="22"/>
        </w:rPr>
        <w:t>Protect time for sleep, family, health-supporting routines, finances, and joy.</w:t>
      </w:r>
    </w:p>
    <w:p>
      <w:pPr>
        <w:spacing w:before="0" w:after="80" w:line="300" w:lineRule="auto"/>
        <w:numPr>
          <w:ilvl w:val="0"/>
          <w:numId w:val="10"/>
        </w:numPr>
      </w:pPr>
      <w:r>
        <w:rPr>
          <w:rFonts w:ascii="Calibri" w:hAnsi="Calibri" w:eastAsia="Calibri"/>
          <w:color w:val="1F2937"/>
          <w:sz w:val="22"/>
        </w:rPr>
        <w:t>Show what you remember, who can access it, and when it will be deleted.</w:t>
      </w:r>
    </w:p>
    <w:p>
      <w:pPr>
        <w:pStyle w:val="Heading1"/>
        <w:keepNext/>
      </w:pPr>
      <w:r>
        <w:t>Closing message to the staff nurse</w:t>
      </w:r>
    </w:p>
    <w:p>
      <w:pPr>
        <w:spacing w:before="0" w:after="240" w:line="288" w:lineRule="auto"/>
      </w:pPr>
      <w:r>
        <w:rPr>
          <w:rFonts w:ascii="Calibri" w:hAnsi="Calibri" w:eastAsia="Calibri"/>
          <w:b/>
          <w:color w:val="123047"/>
          <w:sz w:val="26"/>
        </w:rPr>
        <w:t>Staff nurses hold together complex care, communication, coordination, education, advocacy, and human presence—often while carrying responsibilities that remain invisible after the shift ends.</w:t>
      </w:r>
    </w:p>
    <w:p>
      <w:pPr/>
      <w:r>
        <w:rPr>
          <w:rFonts w:ascii="Calibri" w:hAnsi="Calibri" w:eastAsia="Calibri"/>
          <w:i w:val="0"/>
          <w:color w:val="1F2937"/>
          <w:sz w:val="22"/>
        </w:rPr>
        <w:t>Hermes–Nurse AI OS is designed to hold coordination, not authority. It can prepare, organize, remind, connect, and surface choices. It cannot replace the nurse’s assessment, judgment, courage, compassion, accountability, relationships, or lived experience.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operating principle: </w:t>
      </w:r>
      <w:r>
        <w:rPr>
          <w:rFonts w:ascii="Calibri" w:hAnsi="Calibri" w:eastAsia="Calibri"/>
          <w:color w:val="1F2937"/>
          <w:sz w:val="22"/>
        </w:rPr>
        <w:t>The system coordinates and prepares. The nurse assesses, cares, advocates, grows, recovers, and lives.</w:t>
      </w:r>
    </w:p>
    <w:p>
      <w:pPr>
        <w:pStyle w:val="Heading2"/>
        <w:keepNext/>
      </w:pPr>
      <w:r>
        <w:t>Companion implementation file</w:t>
      </w:r>
    </w:p>
    <w:p>
      <w:pPr/>
      <w:r>
        <w:rPr>
          <w:rFonts w:ascii="Calibri" w:hAnsi="Calibri" w:eastAsia="Calibri"/>
          <w:i w:val="0"/>
          <w:color w:val="1F2937"/>
          <w:sz w:val="22"/>
        </w:rPr>
        <w:t>Use Staff-Nurse-Life-and-Practice-Hermes-Program.md as the complete build, dashboard, workflow, governance, and activation specification to hand to Hermes–Nurse AI OS.</w:t>
      </w:r>
    </w:p>
    <w:p>
      <w:pPr>
        <w:pStyle w:val="Heading2"/>
        <w:keepNext/>
      </w:pPr>
      <w:r>
        <w:t>Authoritative reference points</w:t>
      </w:r>
    </w:p>
    <w:p>
      <w:pPr/>
      <w:r>
        <w:rPr>
          <w:rFonts w:ascii="Calibri" w:hAnsi="Calibri" w:eastAsia="Calibri"/>
          <w:i w:val="0"/>
          <w:color w:val="1F2937"/>
          <w:sz w:val="22"/>
        </w:rPr>
        <w:t>Current jurisdictional law, employer policy, authorized orders, approved clinical references, and the responsible human chain remain authoritative. Verify the current source and the version adopted locally.</w:t>
      </w:r>
    </w:p>
    <w:p>
      <w:pPr>
        <w:spacing w:before="0" w:after="80" w:line="300" w:lineRule="auto"/>
        <w:numPr>
          <w:ilvl w:val="0"/>
          <w:numId w:val="10"/>
        </w:numPr>
      </w:pPr>
      <w:r>
        <w:rPr>
          <w:rFonts w:ascii="Calibri" w:hAnsi="Calibri" w:eastAsia="Calibri"/>
          <w:color w:val="1F2937"/>
          <w:sz w:val="22"/>
        </w:rPr>
        <w:t>HHS — HIPAA de-identification guidance: https://www.hhs.gov/hipaa/for-professionals/special-topics/de-identification/index.html</w:t>
      </w:r>
    </w:p>
    <w:p>
      <w:pPr>
        <w:spacing w:before="0" w:after="80" w:line="300" w:lineRule="auto"/>
        <w:numPr>
          <w:ilvl w:val="0"/>
          <w:numId w:val="10"/>
        </w:numPr>
      </w:pPr>
      <w:r>
        <w:rPr>
          <w:rFonts w:ascii="Calibri" w:hAnsi="Calibri" w:eastAsia="Calibri"/>
          <w:color w:val="1F2937"/>
          <w:sz w:val="22"/>
        </w:rPr>
        <w:t>NCSBN — Scope of Practice Decision-Making Framework: https://www.ncsbn.org/nursing-regulation/practice/decision-making-framework.page</w:t>
      </w:r>
    </w:p>
    <w:p>
      <w:pPr>
        <w:spacing w:before="0" w:after="80" w:line="300" w:lineRule="auto"/>
        <w:numPr>
          <w:ilvl w:val="0"/>
          <w:numId w:val="10"/>
        </w:numPr>
      </w:pPr>
      <w:r>
        <w:rPr>
          <w:rFonts w:ascii="Calibri" w:hAnsi="Calibri" w:eastAsia="Calibri"/>
          <w:color w:val="1F2937"/>
          <w:sz w:val="22"/>
        </w:rPr>
        <w:t>NCSBN — National Guidelines for Nursing Delegation: https://www.ncsbn.org/public-files/NGND-PosPaper_06.pdf</w:t>
      </w:r>
    </w:p>
    <w:p>
      <w:pPr>
        <w:spacing w:before="0" w:after="80" w:line="300" w:lineRule="auto"/>
        <w:numPr>
          <w:ilvl w:val="0"/>
          <w:numId w:val="10"/>
        </w:numPr>
      </w:pPr>
      <w:r>
        <w:rPr>
          <w:rFonts w:ascii="Calibri" w:hAnsi="Calibri" w:eastAsia="Calibri"/>
          <w:color w:val="1F2937"/>
          <w:sz w:val="22"/>
        </w:rPr>
        <w:t>CDC/NIOSH — Training for Nurses on Shift Work and Long Work Hours: https://www.cdc.gov/niosh/publications/hcp/numbered/2015-115.html</w:t>
      </w:r>
    </w:p>
    <w:p>
      <w:pPr>
        <w:spacing w:before="0" w:after="80" w:line="300" w:lineRule="auto"/>
        <w:numPr>
          <w:ilvl w:val="0"/>
          <w:numId w:val="10"/>
        </w:numPr>
      </w:pPr>
      <w:r>
        <w:rPr>
          <w:rFonts w:ascii="Calibri" w:hAnsi="Calibri" w:eastAsia="Calibri"/>
          <w:color w:val="1F2937"/>
          <w:sz w:val="22"/>
        </w:rPr>
        <w:t>OSHA — Healthcare Workplace Violence resources: https://www.osha.gov/healthcare/workplace-violence</w:t>
      </w:r>
    </w:p>
    <w:p>
      <w:pPr>
        <w:spacing w:before="0" w:after="80" w:line="300" w:lineRule="auto"/>
        <w:numPr>
          <w:ilvl w:val="0"/>
          <w:numId w:val="10"/>
        </w:numPr>
      </w:pPr>
      <w:r>
        <w:rPr>
          <w:rFonts w:ascii="Calibri" w:hAnsi="Calibri" w:eastAsia="Calibri"/>
          <w:color w:val="1F2937"/>
          <w:sz w:val="22"/>
        </w:rPr>
        <w:t>Nursys — Official nurse licensure verification: https://www.nursys.com/</w:t>
      </w:r>
    </w:p>
    <w:p>
      <w:pPr>
        <w:spacing w:before="0" w:after="80" w:line="300" w:lineRule="auto"/>
        <w:numPr>
          <w:ilvl w:val="0"/>
          <w:numId w:val="10"/>
        </w:numPr>
      </w:pPr>
      <w:r>
        <w:rPr>
          <w:rFonts w:ascii="Calibri" w:hAnsi="Calibri" w:eastAsia="Calibri"/>
          <w:color w:val="1F2937"/>
          <w:sz w:val="22"/>
        </w:rPr>
        <w:t>SAMHSA — 988 Suicide &amp; Crisis Lifeline: https://www.samhsa.gov/mental-health/988</w:t>
      </w:r>
    </w:p>
    <w:p>
      <w:pPr>
        <w:pStyle w:val="Heading2"/>
        <w:keepNext/>
      </w:pPr>
      <w:r>
        <w:t>Concept provenance</w:t>
      </w:r>
    </w:p>
    <w:p>
      <w:pPr/>
      <w:r>
        <w:rPr>
          <w:rFonts w:ascii="Calibri" w:hAnsi="Calibri" w:eastAsia="Calibri"/>
          <w:i w:val="0"/>
          <w:color w:val="1F2937"/>
          <w:sz w:val="22"/>
        </w:rPr>
        <w:t>This staff-nurse adaptation translates a five-department AI operating-system concept into a nurse-controlled whole-life environment with a private dashboard, no-PHI protection, live-care stops, current scope and policy verification, human escalation, professional growth, financial and life planning, and recovery-aware capacity.</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eastAsia="Calibri"/>
        <w:color w:val="5F6B76"/>
        <w:sz w:val="18"/>
      </w:rPr>
      <w:t xml:space="preserve">Page </w:t>
    </w: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STAFF NURSE EMPOWERMENT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abstractNum w:abstractNumId="13">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Hermes–Nurse AI OS: Staff Nurse Life &amp; Practice Empowerment Function</dc:title>
  <dc:subject>Staff-nurse guide for a private whole-life and professional-practice AI operating system</dc:subject>
  <dc:creator>Nurse Intelligence Network</dc:creator>
  <cp:keywords>Nurse AI OS, Hermes, staff nurse, bedside nursing, shift work, career, life goals, dashboard, no PHI</cp:keywords>
  <dc:description>Version 1.0 — No PHI, no live-care direction, nurse-controlled, human verification required</dc:description>
  <cp:lastModifiedBy/>
  <cp:revision>1</cp:revision>
  <dcterms:created xsi:type="dcterms:W3CDTF">2013-12-23T23:15:00Z</dcterms:created>
  <dcterms:modified xsi:type="dcterms:W3CDTF">2013-12-23T23:15:00Z</dcterms:modified>
  <cp:category/>
</cp:coreProperties>
</file>