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00" w:after="320"/>
        <w:jc w:val="center"/>
      </w:pPr>
      <w:r>
        <w:rPr>
          <w:rFonts w:ascii="Calibri" w:hAnsi="Calibri" w:eastAsia="Calibri"/>
          <w:b/>
          <w:color w:val="0B7A75"/>
          <w:sz w:val="22"/>
        </w:rPr>
        <w:t>ADVANCED PRACTICE SUPERPOWERS</w:t>
      </w:r>
    </w:p>
    <w:p>
      <w:pPr>
        <w:pStyle w:val="GuideTitle"/>
      </w:pPr>
      <w:r>
        <w:t>NP WINGS</w:t>
      </w:r>
    </w:p>
    <w:p>
      <w:pPr>
        <w:spacing w:after="200"/>
        <w:jc w:val="center"/>
      </w:pPr>
      <w:r>
        <w:rPr>
          <w:rFonts w:ascii="Calibri" w:hAnsi="Calibri" w:eastAsia="Calibri"/>
          <w:b/>
          <w:color w:val="2E74B5"/>
          <w:sz w:val="38"/>
        </w:rPr>
        <w:t>Nurse Practitioner SuperPowers Pack</w:t>
      </w:r>
    </w:p>
    <w:p>
      <w:pPr>
        <w:spacing w:after="560"/>
        <w:jc w:val="center"/>
      </w:pPr>
      <w:r>
        <w:rPr>
          <w:rFonts w:ascii="Calibri" w:hAnsi="Calibri" w:eastAsia="Calibri"/>
          <w:color w:val="5F6B76"/>
          <w:sz w:val="26"/>
        </w:rPr>
        <w:t>Practice higher. Lead farther. Live whole.</w:t>
        <w:br/>
        <w:t>A post-setup expansion for mastery, authority, influence, career, scholarship, enterprise, community, freedom, and legacy</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Product promise: </w:t>
      </w:r>
      <w:r>
        <w:rPr>
          <w:rFonts w:ascii="Calibri" w:hAnsi="Calibri" w:eastAsia="Calibri"/>
          <w:color w:val="1F2937"/>
          <w:sz w:val="22"/>
        </w:rPr>
        <w:t>NP Wings does not practice for the nurse practitioner. It gives the nurse practitioner the clarity, infrastructure, and protected runway to practice, lead, build, teach, influence, and live at a higher level.</w:t>
      </w:r>
    </w:p>
    <w:p>
      <w:pPr>
        <w:spacing w:before="680" w:after="100"/>
        <w:jc w:val="center"/>
      </w:pPr>
      <w:r>
        <w:rPr>
          <w:rFonts w:ascii="Calibri" w:hAnsi="Calibri" w:eastAsia="Calibri"/>
          <w:b/>
          <w:color w:val="5F6B76"/>
          <w:sz w:val="21"/>
        </w:rPr>
        <w:t>An advanced overlay for the Nurse Practitioner Life, Practice &amp; Purpose Empowerment Function</w:t>
      </w:r>
    </w:p>
    <w:p>
      <w:pPr>
        <w:jc w:val="center"/>
      </w:pPr>
      <w:r>
        <w:rPr>
          <w:rFonts w:ascii="Calibri" w:hAnsi="Calibri" w:eastAsia="Calibri"/>
          <w:color w:val="5F6B76"/>
          <w:sz w:val="20"/>
        </w:rPr>
        <w:t>Version 1.0  •  July 2026</w:t>
      </w:r>
    </w:p>
    <w:p>
      <w:r>
        <w:br w:type="page"/>
      </w:r>
    </w:p>
    <w:p>
      <w:pPr>
        <w:pStyle w:val="Heading1"/>
        <w:keepNext/>
      </w:pPr>
      <w:r>
        <w:t>You already carry advanced responsibility</w:t>
      </w:r>
    </w:p>
    <w:p>
      <w:pPr>
        <w:spacing w:before="0" w:after="240" w:line="288" w:lineRule="auto"/>
      </w:pPr>
      <w:r>
        <w:rPr>
          <w:rFonts w:ascii="Calibri" w:hAnsi="Calibri" w:eastAsia="Calibri"/>
          <w:b/>
          <w:color w:val="123047"/>
          <w:sz w:val="26"/>
        </w:rPr>
        <w:t>NP Wings does not ask you to become more responsible. It gives the responsibility you already carry a structure.</w:t>
      </w:r>
    </w:p>
    <w:p>
      <w:pPr/>
      <w:r>
        <w:rPr>
          <w:rFonts w:ascii="Calibri" w:hAnsi="Calibri" w:eastAsia="Calibri"/>
          <w:i w:val="0"/>
          <w:color w:val="1F2937"/>
          <w:sz w:val="22"/>
        </w:rPr>
        <w:t>A nurse practitioner may move among assessment, diagnosis, prescribing responsibility, evidence interpretation, credentialing, leadership, precepting, quality, scholarship, family life, community work, and entrepreneurial aspiration—sometimes in the same day. Generic productivity systems flatten those consequences. NP Wings does not.</w:t>
      </w:r>
    </w:p>
    <w:p>
      <w:pPr/>
      <w:r>
        <w:rPr>
          <w:rFonts w:ascii="Calibri" w:hAnsi="Calibri" w:eastAsia="Calibri"/>
          <w:i w:val="0"/>
          <w:color w:val="1F2937"/>
          <w:sz w:val="22"/>
        </w:rPr>
        <w:t>It sits on top of your existing NP AI OS and adds fifteen advanced powers. Each power starts with the aspiration you choose, reuses the safeguards and records you already have, and stops before AI becomes the professional authority.</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Positioning: </w:t>
      </w:r>
      <w:r>
        <w:rPr>
          <w:rFonts w:ascii="Calibri" w:hAnsi="Calibri" w:eastAsia="Calibri"/>
          <w:color w:val="1F2937"/>
          <w:sz w:val="22"/>
        </w:rPr>
        <w:t>Your license defines your authority. Your judgment directs the work. Your SuperPowers give your aspirations lift.</w:t>
      </w:r>
    </w:p>
    <w:p>
      <w:pPr>
        <w:pStyle w:val="Heading1"/>
        <w:keepNext/>
      </w:pPr>
      <w:r>
        <w:t>What greater lift can look like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00"/>
        <w:gridCol w:w="7160"/>
      </w:tblGrid>
      <w:tr>
        <w:trPr>
          <w:cantSplit/>
          <w:tblHeader w:val="true"/>
          <w:cantSplit/>
        </w:trPr>
        <w:tc>
          <w:tcPr>
            <w:tcW w:type="dxa" w:w="2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Aspiration</w:t>
            </w:r>
          </w:p>
        </w:tc>
        <w:tc>
          <w:tcPr>
            <w:tcW w:type="dxa" w:w="7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NP Wings can help create</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Mastery</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Deliberate-practice simulations, evidence radar, learning priorities, and a transparent gap map.</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 clarity</w:t>
            </w:r>
          </w:p>
        </w:tc>
        <w:tc>
          <w:tcPr>
            <w:tcW w:type="dxa" w:w="7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seven-gate verification brief—never a guessed scope or credential determination.</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Influence</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Executive briefs, stakeholder maps, difficult-conversation rehearsal, and shared-credit follow-through.</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Career capital</w:t>
            </w:r>
          </w:p>
        </w:tc>
        <w:tc>
          <w:tcPr>
            <w:tcW w:type="dxa" w:w="7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verified value dossier, truthful portfolio, opportunity runway, and negotiation questions.</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Scholarship and teaching</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Synthetic learning assets, posters, publications, talks, and contribution ledgers.</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Innovation and enterprise</w:t>
            </w:r>
          </w:p>
        </w:tc>
        <w:tc>
          <w:tcPr>
            <w:tcW w:type="dxa" w:w="7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Governed pilots, ethical listening, adviser maps, reversible experiments, and stop conditions.</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Freedom and longevity</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Capacity-aware plans, protected-life outcomes, possible futures, succession, and legacy.</w:t>
            </w:r>
          </w:p>
        </w:tc>
      </w:tr>
    </w:tbl>
    <w:p>
      <w:pPr>
        <w:spacing w:before="0" w:after="40"/>
      </w:pPr>
    </w:p>
    <w:p>
      <w:r>
        <w:br w:type="page"/>
      </w:r>
    </w:p>
    <w:p>
      <w:pPr>
        <w:pStyle w:val="Heading1"/>
        <w:keepNext/>
      </w:pPr>
      <w:r>
        <w:t>From advanced-practice pain to usable lift</w:t>
      </w:r>
    </w:p>
    <w:p>
      <w:pPr>
        <w:spacing w:before="120" w:after="80"/>
        <w:jc w:val="center"/>
      </w:pPr>
      <w:r>
        <w:drawing>
          <wp:inline xmlns:a="http://schemas.openxmlformats.org/drawingml/2006/main" xmlns:pic="http://schemas.openxmlformats.org/drawingml/2006/picture">
            <wp:extent cx="5870448" cy="3705720"/>
            <wp:docPr id="1" name="Picture 1" descr="NP Wings maps familiar advanced-practice friction to a bounded power with a visible human gate." title="Np Wings Pain To Power"/>
            <wp:cNvGraphicFramePr>
              <a:graphicFrameLocks noChangeAspect="1"/>
            </wp:cNvGraphicFramePr>
            <a:graphic>
              <a:graphicData uri="http://schemas.openxmlformats.org/drawingml/2006/picture">
                <pic:pic>
                  <pic:nvPicPr>
                    <pic:cNvPr id="0" name="np-wings-pain-to-power.png"/>
                    <pic:cNvPicPr/>
                  </pic:nvPicPr>
                  <pic:blipFill>
                    <a:blip r:embed="rId11"/>
                    <a:stretch>
                      <a:fillRect/>
                    </a:stretch>
                  </pic:blipFill>
                  <pic:spPr>
                    <a:xfrm>
                      <a:off x="0" y="0"/>
                      <a:ext cx="5870448" cy="3705720"/>
                    </a:xfrm>
                    <a:prstGeom prst="rect"/>
                  </pic:spPr>
                </pic:pic>
              </a:graphicData>
            </a:graphic>
          </wp:inline>
        </w:drawing>
      </w:r>
    </w:p>
    <w:p>
      <w:pPr>
        <w:spacing w:before="0" w:after="200"/>
        <w:jc w:val="center"/>
      </w:pPr>
      <w:r>
        <w:rPr>
          <w:rFonts w:ascii="Calibri" w:hAnsi="Calibri" w:eastAsia="Calibri"/>
          <w:i/>
          <w:color w:val="5F6B76"/>
          <w:sz w:val="18"/>
        </w:rPr>
        <w:t>NP Wings maps familiar advanced-practice friction to a bounded power with a visible human gate.</w:t>
      </w:r>
    </w:p>
    <w:p>
      <w:pPr/>
      <w:r>
        <w:rPr>
          <w:rFonts w:ascii="Calibri" w:hAnsi="Calibri" w:eastAsia="Calibri"/>
          <w:i w:val="0"/>
          <w:color w:val="1F2937"/>
          <w:sz w:val="22"/>
        </w:rPr>
        <w:t>The pack measures lift rather than surveillance. Useful outcomes include time or attention returned, official questions resolved, verified accomplishments captured, important conversations prepared, one chosen aspiration advanced, and protected-life commitments honored.</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What it does not measure: </w:t>
      </w:r>
      <w:r>
        <w:rPr>
          <w:rFonts w:ascii="Calibri" w:hAnsi="Calibri" w:eastAsia="Calibri"/>
          <w:color w:val="1F2937"/>
          <w:sz w:val="22"/>
        </w:rPr>
        <w:t>NP Wings does not create a hidden productivity score, compare NPs, infer wellbeing, rank career ambition, or convert private reflection into employer analytics.</w:t>
      </w:r>
    </w:p>
    <w:p>
      <w:r>
        <w:br w:type="page"/>
      </w:r>
    </w:p>
    <w:p>
      <w:pPr>
        <w:pStyle w:val="Heading1"/>
        <w:keepNext/>
      </w:pPr>
      <w:r>
        <w:t>The NP Wings Compact</w:t>
      </w:r>
    </w:p>
    <w:p>
      <w:pPr>
        <w:spacing w:before="0" w:after="240" w:line="288" w:lineRule="auto"/>
      </w:pPr>
      <w:r>
        <w:rPr>
          <w:rFonts w:ascii="Calibri" w:hAnsi="Calibri" w:eastAsia="Calibri"/>
          <w:b/>
          <w:color w:val="123047"/>
          <w:sz w:val="26"/>
        </w:rPr>
        <w:t>Read this before takeoff. These powers remain yours.</w:t>
      </w:r>
    </w:p>
    <w:p>
      <w:pPr>
        <w:keepNext/>
        <w:spacing w:before="0" w:after="80" w:line="300" w:lineRule="auto"/>
        <w:numPr>
          <w:ilvl w:val="0"/>
          <w:numId w:val="12"/>
        </w:numPr>
      </w:pPr>
      <w:r>
        <w:rPr>
          <w:rFonts w:ascii="Calibri" w:hAnsi="Calibri" w:eastAsia="Calibri"/>
          <w:color w:val="1F2937"/>
          <w:sz w:val="22"/>
        </w:rPr>
        <w:t>My license leads. AI assists.</w:t>
      </w:r>
    </w:p>
    <w:p>
      <w:pPr>
        <w:keepNext/>
        <w:spacing w:before="0" w:after="80" w:line="300" w:lineRule="auto"/>
        <w:numPr>
          <w:ilvl w:val="0"/>
          <w:numId w:val="12"/>
        </w:numPr>
      </w:pPr>
      <w:r>
        <w:rPr>
          <w:rFonts w:ascii="Calibri" w:hAnsi="Calibri" w:eastAsia="Calibri"/>
          <w:color w:val="1F2937"/>
          <w:sz w:val="22"/>
        </w:rPr>
        <w:t>My judgment remains mine.</w:t>
      </w:r>
    </w:p>
    <w:p>
      <w:pPr>
        <w:keepNext/>
        <w:spacing w:before="0" w:after="80" w:line="300" w:lineRule="auto"/>
        <w:numPr>
          <w:ilvl w:val="0"/>
          <w:numId w:val="12"/>
        </w:numPr>
      </w:pPr>
      <w:r>
        <w:rPr>
          <w:rFonts w:ascii="Calibri" w:hAnsi="Calibri" w:eastAsia="Calibri"/>
          <w:color w:val="1F2937"/>
          <w:sz w:val="22"/>
        </w:rPr>
        <w:t>My credentials are verified—not assumed.</w:t>
      </w:r>
    </w:p>
    <w:p>
      <w:pPr>
        <w:keepNext/>
        <w:spacing w:before="0" w:after="80" w:line="300" w:lineRule="auto"/>
        <w:numPr>
          <w:ilvl w:val="0"/>
          <w:numId w:val="12"/>
        </w:numPr>
      </w:pPr>
      <w:r>
        <w:rPr>
          <w:rFonts w:ascii="Calibri" w:hAnsi="Calibri" w:eastAsia="Calibri"/>
          <w:color w:val="1F2937"/>
          <w:sz w:val="22"/>
        </w:rPr>
        <w:t>Patient information stays protected.</w:t>
      </w:r>
    </w:p>
    <w:p>
      <w:pPr>
        <w:keepNext/>
        <w:spacing w:before="0" w:after="80" w:line="300" w:lineRule="auto"/>
        <w:numPr>
          <w:ilvl w:val="0"/>
          <w:numId w:val="12"/>
        </w:numPr>
      </w:pPr>
      <w:r>
        <w:rPr>
          <w:rFonts w:ascii="Calibri" w:hAnsi="Calibri" w:eastAsia="Calibri"/>
          <w:color w:val="1F2937"/>
          <w:sz w:val="22"/>
        </w:rPr>
        <w:t>Drafts are reviewed before they become actions.</w:t>
      </w:r>
    </w:p>
    <w:p>
      <w:pPr>
        <w:keepNext/>
        <w:spacing w:before="0" w:after="80" w:line="300" w:lineRule="auto"/>
        <w:numPr>
          <w:ilvl w:val="0"/>
          <w:numId w:val="12"/>
        </w:numPr>
      </w:pPr>
      <w:r>
        <w:rPr>
          <w:rFonts w:ascii="Calibri" w:hAnsi="Calibri" w:eastAsia="Calibri"/>
          <w:color w:val="1F2937"/>
          <w:sz w:val="22"/>
        </w:rPr>
        <w:t>My ambition will not require the abandonment of my wellbeing, family, or values.</w:t>
      </w:r>
    </w:p>
    <w:p>
      <w:pPr>
        <w:spacing w:before="0" w:after="80" w:line="300" w:lineRule="auto"/>
        <w:numPr>
          <w:ilvl w:val="0"/>
          <w:numId w:val="12"/>
        </w:numPr>
      </w:pPr>
      <w:r>
        <w:rPr>
          <w:rFonts w:ascii="Calibri" w:hAnsi="Calibri" w:eastAsia="Calibri"/>
          <w:color w:val="1F2937"/>
          <w:sz w:val="22"/>
        </w:rPr>
        <w:t>I will use NP Wings to create lift—not risk.</w:t>
      </w:r>
    </w:p>
    <w:p>
      <w:pPr>
        <w:pStyle w:val="Heading2"/>
        <w:keepNext/>
      </w:pPr>
      <w:r>
        <w:t>What each partner carries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4400"/>
        <w:gridCol w:w="4960"/>
      </w:tblGrid>
      <w:tr>
        <w:trPr>
          <w:cantSplit/>
          <w:tblHeader w:val="true"/>
          <w:cantSplit/>
        </w:trPr>
        <w:tc>
          <w:tcPr>
            <w:tcW w:type="dxa" w:w="44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Hermes may carry</w:t>
            </w:r>
          </w:p>
        </w:tc>
        <w:tc>
          <w:tcPr>
            <w:tcW w:type="dxa" w:w="49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The nurse practitioner carries</w:t>
            </w:r>
          </w:p>
        </w:tc>
      </w:tr>
      <w:tr>
        <w:trPr>
          <w:cantSplit/>
        </w:trPr>
        <w:tc>
          <w:tcPr>
            <w:tcW w:type="dxa" w:w="4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Organization, preparation, research structure, reminders, rehearsal, drafts, and reflection</w:t>
            </w:r>
          </w:p>
        </w:tc>
        <w:tc>
          <w:tcPr>
            <w:tcW w:type="dxa" w:w="4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Clinical judgment, legal authority, patient context, consent, accountability, relationships, and final decisions</w:t>
            </w:r>
          </w:p>
        </w:tc>
      </w:tr>
      <w:tr>
        <w:trPr>
          <w:cantSplit/>
        </w:trPr>
        <w:tc>
          <w:tcPr>
            <w:tcW w:type="dxa" w:w="44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User-entered metadata, source links, questions, and private project state</w:t>
            </w:r>
          </w:p>
        </w:tc>
        <w:tc>
          <w:tcPr>
            <w:tcW w:type="dxa" w:w="4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Official verification, signatures, attestations, prescribing, ordering, documentation, submissions, and consequences</w:t>
            </w:r>
          </w:p>
        </w:tc>
      </w:tr>
      <w:tr>
        <w:trPr>
          <w:cantSplit/>
        </w:trPr>
        <w:tc>
          <w:tcPr>
            <w:tcW w:type="dxa" w:w="44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Possible futures, reversible experiments, and adviser questions</w:t>
            </w:r>
          </w:p>
        </w:tc>
        <w:tc>
          <w:tcPr>
            <w:tcW w:type="dxa" w:w="4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aspiration, tradeoffs, moral agency, protected life, and the decision to proceed or stop</w:t>
            </w:r>
          </w:p>
        </w:tc>
      </w:tr>
    </w:tbl>
    <w:p>
      <w:pPr>
        <w:spacing w:before="0" w:after="40"/>
      </w:pP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Activation acknowledgment: </w:t>
      </w:r>
      <w:r>
        <w:rPr>
          <w:rFonts w:ascii="Calibri" w:hAnsi="Calibri" w:eastAsia="Calibri"/>
          <w:color w:val="1F2937"/>
          <w:sz w:val="22"/>
        </w:rPr>
        <w:t>I understand that NP Wings is a professional preparation and growth layer. It is not a clinical record, prescriber, credentialing authority, regulator, lawyer, accountant, insurer, or replacement for qualified human judgment.</w:t>
      </w:r>
    </w:p>
    <w:p>
      <w:r>
        <w:br w:type="page"/>
      </w:r>
    </w:p>
    <w:p>
      <w:pPr>
        <w:pStyle w:val="Heading1"/>
        <w:keepNext/>
      </w:pPr>
      <w:r>
        <w:t>The WINGS architecture</w:t>
      </w:r>
    </w:p>
    <w:p>
      <w:pPr>
        <w:spacing w:before="120" w:after="80"/>
        <w:jc w:val="center"/>
      </w:pPr>
      <w:r>
        <w:drawing>
          <wp:inline xmlns:a="http://schemas.openxmlformats.org/drawingml/2006/main" xmlns:pic="http://schemas.openxmlformats.org/drawingml/2006/picture">
            <wp:extent cx="5897880" cy="3612452"/>
            <wp:docPr id="2" name="Picture 2" descr="Five coordinated flight systems hold fifteen advanced powers around one NP-owned Flight Deck and an always-on Authority Shield." title="Np Wings Architecture"/>
            <wp:cNvGraphicFramePr>
              <a:graphicFrameLocks noChangeAspect="1"/>
            </wp:cNvGraphicFramePr>
            <a:graphic>
              <a:graphicData uri="http://schemas.openxmlformats.org/drawingml/2006/picture">
                <pic:pic>
                  <pic:nvPicPr>
                    <pic:cNvPr id="0" name="np-wings-architecture.png"/>
                    <pic:cNvPicPr/>
                  </pic:nvPicPr>
                  <pic:blipFill>
                    <a:blip r:embed="rId12"/>
                    <a:stretch>
                      <a:fillRect/>
                    </a:stretch>
                  </pic:blipFill>
                  <pic:spPr>
                    <a:xfrm>
                      <a:off x="0" y="0"/>
                      <a:ext cx="5897880" cy="3612452"/>
                    </a:xfrm>
                    <a:prstGeom prst="rect"/>
                  </pic:spPr>
                </pic:pic>
              </a:graphicData>
            </a:graphic>
          </wp:inline>
        </w:drawing>
      </w:r>
    </w:p>
    <w:p>
      <w:pPr>
        <w:spacing w:before="0" w:after="200"/>
        <w:jc w:val="center"/>
      </w:pPr>
      <w:r>
        <w:rPr>
          <w:rFonts w:ascii="Calibri" w:hAnsi="Calibri" w:eastAsia="Calibri"/>
          <w:i/>
          <w:color w:val="5F6B76"/>
          <w:sz w:val="18"/>
        </w:rPr>
        <w:t>Five coordinated flight systems hold fifteen advanced powers around one NP-owned Flight Deck and an always-on Authority Shield.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000"/>
        <w:gridCol w:w="6360"/>
      </w:tblGrid>
      <w:tr>
        <w:trPr>
          <w:cantSplit/>
          <w:tblHeader w:val="true"/>
          <w:cantSplit/>
        </w:trPr>
        <w:tc>
          <w:tcPr>
            <w:tcW w:type="dxa" w:w="3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System</w:t>
            </w:r>
          </w:p>
        </w:tc>
        <w:tc>
          <w:tcPr>
            <w:tcW w:type="dxa" w:w="63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adds</w:t>
            </w:r>
          </w:p>
        </w:tc>
      </w:tr>
      <w:tr>
        <w:trPr>
          <w:cantSplit/>
        </w:trPr>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 — Work within verified authority</w:t>
            </w:r>
          </w:p>
        </w:tc>
        <w:tc>
          <w:tcPr>
            <w:tcW w:type="dxa" w:w="6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Practice Authority Navigator, Evidence-to-Practice Bridge, and Clinical Mastery Flight Simulator.</w:t>
            </w:r>
          </w:p>
        </w:tc>
      </w:tr>
      <w:tr>
        <w:trPr>
          <w:cantSplit/>
        </w:trPr>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 — Influence care, teams, and systems</w:t>
            </w:r>
          </w:p>
        </w:tc>
        <w:tc>
          <w:tcPr>
            <w:tcW w:type="dxa" w:w="6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Human Care Communication, Leadership &amp; Influence, and Practice Model &amp; Access design.</w:t>
            </w:r>
          </w:p>
        </w:tc>
      </w:tr>
      <w:tr>
        <w:trPr>
          <w:cantSplit/>
        </w:trPr>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 — Navigate credentials, roles, and career</w:t>
            </w:r>
          </w:p>
        </w:tc>
        <w:tc>
          <w:tcPr>
            <w:tcW w:type="dxa" w:w="6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Readiness runway, role and negotiation preparation, portfolio, and opportunity navigation.</w:t>
            </w:r>
          </w:p>
        </w:tc>
      </w:tr>
      <w:tr>
        <w:trPr>
          <w:cantSplit/>
        </w:trPr>
        <w:tc>
          <w:tcPr>
            <w:tcW w:type="dxa" w:w="3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 — Grow scholarship, innovation, and impact</w:t>
            </w:r>
          </w:p>
        </w:tc>
        <w:tc>
          <w:tcPr>
            <w:tcW w:type="dxa" w:w="63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Quality, teaching, scholarship, public voice, policy, ethical venture, and community impact.</w:t>
            </w:r>
          </w:p>
        </w:tc>
      </w:tr>
      <w:tr>
        <w:trPr>
          <w:cantSplit/>
        </w:trPr>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 — Sustain the person, purpose, and future</w:t>
            </w:r>
          </w:p>
        </w:tc>
        <w:tc>
          <w:tcPr>
            <w:tcW w:type="dxa" w:w="63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Capacity and recovery protection, financial optionality preparation, mission, transition, and legacy.</w:t>
            </w:r>
          </w:p>
        </w:tc>
      </w:tr>
    </w:tbl>
    <w:p>
      <w:pPr>
        <w:spacing w:before="0" w:after="40"/>
      </w:pPr>
    </w:p>
    <w:p>
      <w:pPr>
        <w:pStyle w:val="Heading2"/>
        <w:keepNext/>
      </w:pPr>
      <w:r>
        <w:t>The clean overlay rule</w:t>
      </w:r>
    </w:p>
    <w:p>
      <w:pPr/>
      <w:r>
        <w:rPr>
          <w:rFonts w:ascii="Calibri" w:hAnsi="Calibri" w:eastAsia="Calibri"/>
          <w:i w:val="0"/>
          <w:color w:val="1F2937"/>
          <w:sz w:val="22"/>
        </w:rPr>
        <w:t>NP Wings references the base OS profile, credential, source, goal, role-load, learning, evidence, conversation, project, and whole-life records. It adds nine extension records only where needed—never a second credential status, dashboard, or risk system.</w:t>
      </w:r>
    </w:p>
    <w:p>
      <w:pPr>
        <w:pStyle w:val="Heading1"/>
        <w:keepNext/>
      </w:pPr>
      <w:r>
        <w:t>Airworthiness before aspiration</w:t>
      </w:r>
    </w:p>
    <w:p>
      <w:pPr>
        <w:spacing w:before="0" w:after="240" w:line="288" w:lineRule="auto"/>
      </w:pPr>
      <w:r>
        <w:rPr>
          <w:rFonts w:ascii="Calibri" w:hAnsi="Calibri" w:eastAsia="Calibri"/>
          <w:b/>
          <w:color w:val="123047"/>
          <w:sz w:val="26"/>
        </w:rPr>
        <w:t>The closer a task moves toward a real patient, professional authority, an external system, or a consequential decision, the more review must rise.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00"/>
        <w:gridCol w:w="4250"/>
        <w:gridCol w:w="3810"/>
      </w:tblGrid>
      <w:tr>
        <w:trPr>
          <w:cantSplit/>
          <w:tblHeader w:val="true"/>
          <w:cantSplit/>
        </w:trPr>
        <w:tc>
          <w:tcPr>
            <w:tcW w:type="dxa" w:w="1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EDENA tier</w:t>
            </w:r>
          </w:p>
        </w:tc>
        <w:tc>
          <w:tcPr>
            <w:tcW w:type="dxa" w:w="42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Examples</w:t>
            </w:r>
          </w:p>
        </w:tc>
        <w:tc>
          <w:tcPr>
            <w:tcW w:type="dxa" w:w="38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NP Wings behavior</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Green</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planning, public learning, fictional simulation, low-sensitivity reflection</w:t>
            </w:r>
          </w:p>
        </w:tc>
        <w:tc>
          <w:tcPr>
            <w:tcW w:type="dxa" w:w="3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Assist privately; external actions stay off.</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Yellow</w:t>
            </w:r>
          </w:p>
        </w:tc>
        <w:tc>
          <w:tcPr>
            <w:tcW w:type="dxa" w:w="4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leadership, teaching, quality concepts, career, public drafts</w:t>
            </w:r>
          </w:p>
        </w:tc>
        <w:tc>
          <w:tcPr>
            <w:tcW w:type="dxa" w:w="38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Show sources, assumptions, unknowns, owner, and preview.</w:t>
            </w:r>
          </w:p>
        </w:tc>
      </w:tr>
      <w:tr>
        <w:trPr>
          <w:cantSplit/>
        </w:trPr>
        <w:tc>
          <w:tcPr>
            <w:tcW w:type="dxa" w:w="1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Orange</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Scope, credential, contract, employment, research status, payer, enterprise, legal or financial questions</w:t>
            </w:r>
          </w:p>
        </w:tc>
        <w:tc>
          <w:tcPr>
            <w:tcW w:type="dxa" w:w="38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Minimize data; prepare only; use official or qualified review; approval-gated ceiling.</w:t>
            </w:r>
          </w:p>
        </w:tc>
      </w:tr>
      <w:tr>
        <w:trPr>
          <w:cantSplit/>
        </w:trPr>
        <w:tc>
          <w:tcPr>
            <w:tcW w:type="dxa" w:w="1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Red</w:t>
            </w:r>
          </w:p>
        </w:tc>
        <w:tc>
          <w:tcPr>
            <w:tcW w:type="dxa" w:w="4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Patient care, PHI, prescriptions, orders, charts, claims, attestations, secrets, unsafe automation</w:t>
            </w:r>
          </w:p>
        </w:tc>
        <w:tc>
          <w:tcPr>
            <w:tcW w:type="dxa" w:w="38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 protect information, and use the authorized human or system.</w:t>
            </w:r>
          </w:p>
        </w:tc>
      </w:tr>
    </w:tbl>
    <w:p>
      <w:pPr>
        <w:spacing w:before="0" w:after="40"/>
      </w:pP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Patient boundary: </w:t>
      </w:r>
      <w:r>
        <w:rPr>
          <w:rFonts w:ascii="Calibri" w:hAnsi="Calibri" w:eastAsia="Calibri"/>
          <w:color w:val="1F2937"/>
          <w:sz w:val="22"/>
        </w:rPr>
        <w:t>Do not paste a chart, patient message, image, or clinical narrative into a personal or unapproved workspace—even after removing the name. NP Wings must stop without asking for more clinical detail.</w:t>
      </w:r>
    </w:p>
    <w:p>
      <w:pPr>
        <w:pStyle w:val="Heading2"/>
        <w:keepNext/>
      </w:pPr>
      <w:r>
        <w:t>The seven authority gates</w:t>
      </w:r>
    </w:p>
    <w:p>
      <w:pPr>
        <w:keepNext/>
        <w:spacing w:before="0" w:after="80" w:line="300" w:lineRule="auto"/>
        <w:numPr>
          <w:ilvl w:val="0"/>
          <w:numId w:val="13"/>
        </w:numPr>
      </w:pPr>
      <w:r>
        <w:rPr>
          <w:rFonts w:ascii="Calibri" w:hAnsi="Calibri" w:eastAsia="Calibri"/>
          <w:color w:val="1F2937"/>
          <w:sz w:val="22"/>
        </w:rPr>
        <w:t>Jurisdiction and location relevant to the work</w:t>
      </w:r>
    </w:p>
    <w:p>
      <w:pPr>
        <w:keepNext/>
        <w:spacing w:before="0" w:after="80" w:line="300" w:lineRule="auto"/>
        <w:numPr>
          <w:ilvl w:val="0"/>
          <w:numId w:val="13"/>
        </w:numPr>
      </w:pPr>
      <w:r>
        <w:rPr>
          <w:rFonts w:ascii="Calibri" w:hAnsi="Calibri" w:eastAsia="Calibri"/>
          <w:color w:val="1F2937"/>
          <w:sz w:val="22"/>
        </w:rPr>
        <w:t>Current license or registration category</w:t>
      </w:r>
    </w:p>
    <w:p>
      <w:pPr>
        <w:keepNext/>
        <w:spacing w:before="0" w:after="80" w:line="300" w:lineRule="auto"/>
        <w:numPr>
          <w:ilvl w:val="0"/>
          <w:numId w:val="13"/>
        </w:numPr>
      </w:pPr>
      <w:r>
        <w:rPr>
          <w:rFonts w:ascii="Calibri" w:hAnsi="Calibri" w:eastAsia="Calibri"/>
          <w:color w:val="1F2937"/>
          <w:sz w:val="22"/>
        </w:rPr>
        <w:t>APRN role and population focus</w:t>
      </w:r>
    </w:p>
    <w:p>
      <w:pPr>
        <w:keepNext/>
        <w:spacing w:before="0" w:after="80" w:line="300" w:lineRule="auto"/>
        <w:numPr>
          <w:ilvl w:val="0"/>
          <w:numId w:val="13"/>
        </w:numPr>
      </w:pPr>
      <w:r>
        <w:rPr>
          <w:rFonts w:ascii="Calibri" w:hAnsi="Calibri" w:eastAsia="Calibri"/>
          <w:color w:val="1F2937"/>
          <w:sz w:val="22"/>
        </w:rPr>
        <w:t>Education, current competence, and known limits</w:t>
      </w:r>
    </w:p>
    <w:p>
      <w:pPr>
        <w:keepNext/>
        <w:spacing w:before="0" w:after="80" w:line="300" w:lineRule="auto"/>
        <w:numPr>
          <w:ilvl w:val="0"/>
          <w:numId w:val="13"/>
        </w:numPr>
      </w:pPr>
      <w:r>
        <w:rPr>
          <w:rFonts w:ascii="Calibri" w:hAnsi="Calibri" w:eastAsia="Calibri"/>
          <w:color w:val="1F2937"/>
          <w:sz w:val="22"/>
        </w:rPr>
        <w:t>Privileges, credentialing, employer policy, and setting</w:t>
      </w:r>
    </w:p>
    <w:p>
      <w:pPr>
        <w:keepNext/>
        <w:spacing w:before="0" w:after="80" w:line="300" w:lineRule="auto"/>
        <w:numPr>
          <w:ilvl w:val="0"/>
          <w:numId w:val="13"/>
        </w:numPr>
      </w:pPr>
      <w:r>
        <w:rPr>
          <w:rFonts w:ascii="Calibri" w:hAnsi="Calibri" w:eastAsia="Calibri"/>
          <w:color w:val="1F2937"/>
          <w:sz w:val="22"/>
        </w:rPr>
        <w:t>Federal, payer, prescribing, telehealth, program, or other conditions</w:t>
      </w:r>
    </w:p>
    <w:p>
      <w:pPr>
        <w:spacing w:before="0" w:after="80" w:line="300" w:lineRule="auto"/>
        <w:numPr>
          <w:ilvl w:val="0"/>
          <w:numId w:val="13"/>
        </w:numPr>
      </w:pPr>
      <w:r>
        <w:rPr>
          <w:rFonts w:ascii="Calibri" w:hAnsi="Calibri" w:eastAsia="Calibri"/>
          <w:color w:val="1F2937"/>
          <w:sz w:val="22"/>
        </w:rPr>
        <w:t>Actual context, responsible human, resources, and urgency</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Unknown is a valid result: </w:t>
      </w:r>
      <w:r>
        <w:rPr>
          <w:rFonts w:ascii="Calibri" w:hAnsi="Calibri" w:eastAsia="Calibri"/>
          <w:color w:val="1F2937"/>
          <w:sz w:val="22"/>
        </w:rPr>
        <w:t>If a gate is missing, stale, or conflicting, the result is Unverified — official confirmation required. Another NP's practice or an online anecdote is not authority.</w:t>
      </w:r>
    </w:p>
    <w:p>
      <w:r>
        <w:br w:type="page"/>
      </w:r>
    </w:p>
    <w:p>
      <w:pPr>
        <w:pStyle w:val="Heading1"/>
        <w:keepNext/>
      </w:pPr>
      <w:r>
        <w:t>W — Work within verified authority</w:t>
      </w:r>
    </w:p>
    <w:p>
      <w:pPr>
        <w:pStyle w:val="Heading2"/>
        <w:keepNext/>
      </w:pPr>
      <w:r>
        <w:t>1. Practice Authority Navigator</w:t>
      </w:r>
    </w:p>
    <w:p>
      <w:pPr/>
      <w:r>
        <w:rPr>
          <w:rFonts w:ascii="Calibri" w:hAnsi="Calibri" w:eastAsia="Calibri"/>
          <w:i w:val="0"/>
          <w:color w:val="1F2937"/>
          <w:sz w:val="22"/>
        </w:rPr>
        <w:t>Turns a generic scope or authority question into a seven-gate map, current official-source queue, unknowns, and questions for the board, certifier, employer, credentialing office, payer, attorney, insurer, or other responsible authority. It never declares that the NP is permitted, privileged, competent, enrolled, or compliant.</w:t>
      </w:r>
    </w:p>
    <w:p>
      <w:pPr>
        <w:pStyle w:val="Heading2"/>
        <w:keepNext/>
      </w:pPr>
      <w:r>
        <w:t>2. Evidence-to-Practice Bridge</w:t>
      </w:r>
    </w:p>
    <w:p>
      <w:pPr/>
      <w:r>
        <w:rPr>
          <w:rFonts w:ascii="Calibri" w:hAnsi="Calibri" w:eastAsia="Calibri"/>
          <w:i w:val="0"/>
          <w:color w:val="1F2937"/>
          <w:sz w:val="22"/>
        </w:rPr>
        <w:t>Creates a source-led professional learning brief with consistent findings, contradiction, applicability, limitations, local-adoption questions, and a refresh date. A public guideline never becomes an approved local policy merely because Hermes summarized it.</w:t>
      </w:r>
    </w:p>
    <w:p>
      <w:pPr>
        <w:pStyle w:val="Heading2"/>
        <w:keepNext/>
      </w:pPr>
      <w:r>
        <w:t>3. Clinical Mastery Flight Simulator</w:t>
      </w:r>
    </w:p>
    <w:p>
      <w:pPr/>
      <w:r>
        <w:rPr>
          <w:rFonts w:ascii="Calibri" w:hAnsi="Calibri" w:eastAsia="Calibri"/>
          <w:i w:val="0"/>
          <w:color w:val="1F2937"/>
          <w:sz w:val="22"/>
        </w:rPr>
        <w:t>Uses clearly fictional educational scenarios. The NP commits an initial assessment, hypotheses, priorities, uncertainty, and consultation triggers before AI feedback. Staged reveals challenge anchoring and premature closure. A possible real case stops the simulation.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300"/>
        <w:gridCol w:w="3800"/>
        <w:gridCol w:w="3260"/>
      </w:tblGrid>
      <w:tr>
        <w:trPr>
          <w:cantSplit/>
          <w:tblHeader w:val="true"/>
          <w:cantSplit/>
        </w:trPr>
        <w:tc>
          <w:tcPr>
            <w:tcW w:type="dxa" w:w="2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Power</w:t>
            </w:r>
          </w:p>
        </w:tc>
        <w:tc>
          <w:tcPr>
            <w:tcW w:type="dxa" w:w="3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First useful artifact</w:t>
            </w:r>
          </w:p>
        </w:tc>
        <w:tc>
          <w:tcPr>
            <w:tcW w:type="dxa" w:w="3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Permanent boundary</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 Navigator</w:t>
            </w:r>
          </w:p>
        </w:tc>
        <w:tc>
          <w:tcPr>
            <w:tcW w:type="dxa" w:w="3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Practice Boundary Brief and official-verification queue</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Preparation—not legal permission</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Bridge</w:t>
            </w:r>
          </w:p>
        </w:tc>
        <w:tc>
          <w:tcPr>
            <w:tcW w:type="dxa" w:w="3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ledger and contradiction map</w:t>
            </w:r>
          </w:p>
        </w:tc>
        <w:tc>
          <w:tcPr>
            <w:tcW w:type="dxa" w:w="3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Learning—not patient-specific recommendation or local approval</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Mastery Simulator</w:t>
            </w:r>
          </w:p>
        </w:tc>
        <w:tc>
          <w:tcPr>
            <w:tcW w:type="dxa" w:w="3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Fictional scenario and deliberate-practice debrief</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Education—not competence, diagnosis, prescribing, or care direction</w:t>
            </w:r>
          </w:p>
        </w:tc>
      </w:tr>
    </w:tbl>
    <w:p>
      <w:pPr>
        <w:spacing w:before="0" w:after="40"/>
      </w:pP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Mastery habit: </w:t>
      </w:r>
      <w:r>
        <w:rPr>
          <w:rFonts w:ascii="Calibri" w:hAnsi="Calibri" w:eastAsia="Calibri"/>
          <w:color w:val="1F2937"/>
          <w:sz w:val="22"/>
        </w:rPr>
        <w:t>Form your own assessment before asking AI. Use the system to challenge reasoning, surface uncertainty, and identify learning—not to skip the professional work that keeps judgment strong.</w:t>
      </w:r>
    </w:p>
    <w:p>
      <w:r>
        <w:br w:type="page"/>
      </w:r>
    </w:p>
    <w:p>
      <w:pPr>
        <w:pStyle w:val="Heading1"/>
        <w:keepNext/>
      </w:pPr>
      <w:r>
        <w:t>I — Influence care, teams, and systems</w:t>
      </w:r>
    </w:p>
    <w:p>
      <w:pPr>
        <w:pStyle w:val="Heading2"/>
        <w:keepNext/>
      </w:pPr>
      <w:r>
        <w:t>4. Human Care Communication Studio</w:t>
      </w:r>
    </w:p>
    <w:p>
      <w:pPr/>
      <w:r>
        <w:rPr>
          <w:rFonts w:ascii="Calibri" w:hAnsi="Calibri" w:eastAsia="Calibri"/>
          <w:i w:val="0"/>
          <w:color w:val="1F2937"/>
          <w:sz w:val="22"/>
        </w:rPr>
        <w:t>Prepares truthful, humane professional communication by separating facts, interpretation, uncertainty, needs, and questions. It creates direct, collaborative, and one-sentence versions and keeps every draft private until the NP approves the exact use.</w:t>
      </w:r>
    </w:p>
    <w:p>
      <w:pPr>
        <w:pStyle w:val="Heading2"/>
        <w:keepNext/>
      </w:pPr>
      <w:r>
        <w:t>5. Leadership &amp; Influence Studio</w:t>
      </w:r>
    </w:p>
    <w:p>
      <w:pPr/>
      <w:r>
        <w:rPr>
          <w:rFonts w:ascii="Calibri" w:hAnsi="Calibri" w:eastAsia="Calibri"/>
          <w:i w:val="0"/>
          <w:color w:val="1F2937"/>
          <w:sz w:val="22"/>
        </w:rPr>
        <w:t>Builds a stakeholder and decision-rights map, one-page brief, meeting plan, objection rehearsal, contribution ledger, and follow-through. It protects shared credit and refuses covert persuasion, private-person scoring, or employer impersonation.</w:t>
      </w:r>
    </w:p>
    <w:p>
      <w:pPr>
        <w:pStyle w:val="Heading2"/>
        <w:keepNext/>
      </w:pPr>
      <w:r>
        <w:t>6. Practice Model &amp; Access Builder</w:t>
      </w:r>
    </w:p>
    <w:p>
      <w:pPr/>
      <w:r>
        <w:rPr>
          <w:rFonts w:ascii="Calibri" w:hAnsi="Calibri" w:eastAsia="Calibri"/>
          <w:i w:val="0"/>
          <w:color w:val="1F2937"/>
          <w:sz w:val="22"/>
        </w:rPr>
        <w:t>Turns insight about access, continuity, roles, or service delivery into a governable proposal with a current-state map, team topology, RACI, measures, small pilot, approvals, stop conditions, and manual fallback.</w:t>
      </w:r>
    </w:p>
    <w:p>
      <w:pPr>
        <w:pStyle w:val="Heading2"/>
        <w:keepNext/>
      </w:pPr>
      <w:r>
        <w:t>Influence without overreach</w:t>
      </w:r>
    </w:p>
    <w:p>
      <w:pPr>
        <w:spacing w:before="0" w:after="80" w:line="300" w:lineRule="auto"/>
        <w:numPr>
          <w:ilvl w:val="0"/>
          <w:numId w:val="10"/>
        </w:numPr>
      </w:pPr>
      <w:r>
        <w:rPr>
          <w:rFonts w:ascii="Calibri" w:hAnsi="Calibri" w:eastAsia="Calibri"/>
          <w:color w:val="1F2937"/>
          <w:sz w:val="22"/>
        </w:rPr>
        <w:t>The NP approves every claim and communication.</w:t>
      </w:r>
    </w:p>
    <w:p>
      <w:pPr>
        <w:spacing w:before="0" w:after="80" w:line="300" w:lineRule="auto"/>
        <w:numPr>
          <w:ilvl w:val="0"/>
          <w:numId w:val="10"/>
        </w:numPr>
      </w:pPr>
      <w:r>
        <w:rPr>
          <w:rFonts w:ascii="Calibri" w:hAnsi="Calibri" w:eastAsia="Calibri"/>
          <w:color w:val="1F2937"/>
          <w:sz w:val="22"/>
        </w:rPr>
        <w:t>Observable facts, lived experience, interpretation, and organizational positions remain distinct.</w:t>
      </w:r>
    </w:p>
    <w:p>
      <w:pPr>
        <w:spacing w:before="0" w:after="80" w:line="300" w:lineRule="auto"/>
        <w:numPr>
          <w:ilvl w:val="0"/>
          <w:numId w:val="10"/>
        </w:numPr>
      </w:pPr>
      <w:r>
        <w:rPr>
          <w:rFonts w:ascii="Calibri" w:hAnsi="Calibri" w:eastAsia="Calibri"/>
          <w:color w:val="1F2937"/>
          <w:sz w:val="22"/>
        </w:rPr>
        <w:t>No patient, learner, employee, applicant, peer-review, or other private data enters an unapproved context.</w:t>
      </w:r>
    </w:p>
    <w:p>
      <w:pPr>
        <w:spacing w:before="0" w:after="80" w:line="300" w:lineRule="auto"/>
        <w:numPr>
          <w:ilvl w:val="0"/>
          <w:numId w:val="10"/>
        </w:numPr>
      </w:pPr>
      <w:r>
        <w:rPr>
          <w:rFonts w:ascii="Calibri" w:hAnsi="Calibri" w:eastAsia="Calibri"/>
          <w:color w:val="1F2937"/>
          <w:sz w:val="22"/>
        </w:rPr>
        <w:t>No idea is represented as implemented, approved, or successful before official evidence confirms it.</w:t>
      </w:r>
    </w:p>
    <w:p>
      <w:pPr>
        <w:spacing w:before="0" w:after="80" w:line="300" w:lineRule="auto"/>
        <w:numPr>
          <w:ilvl w:val="0"/>
          <w:numId w:val="10"/>
        </w:numPr>
      </w:pPr>
      <w:r>
        <w:rPr>
          <w:rFonts w:ascii="Calibri" w:hAnsi="Calibri" w:eastAsia="Calibri"/>
          <w:color w:val="1F2937"/>
          <w:sz w:val="22"/>
        </w:rPr>
        <w:t>No communication is sent or published by default.</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The goal: </w:t>
      </w:r>
      <w:r>
        <w:rPr>
          <w:rFonts w:ascii="Calibri" w:hAnsi="Calibri" w:eastAsia="Calibri"/>
          <w:color w:val="1F2937"/>
          <w:sz w:val="22"/>
        </w:rPr>
        <w:t>Enter the room with a clearer case, a fairer stakeholder map, and a smaller reversible next step—not a synthetic certainty or a louder volume.</w:t>
      </w:r>
    </w:p>
    <w:p>
      <w:r>
        <w:br w:type="page"/>
      </w:r>
    </w:p>
    <w:p>
      <w:pPr>
        <w:pStyle w:val="Heading1"/>
        <w:keepNext/>
      </w:pPr>
      <w:r>
        <w:t>N — Navigate credentials, roles, and career</w:t>
      </w:r>
    </w:p>
    <w:p>
      <w:pPr>
        <w:pStyle w:val="Heading2"/>
        <w:keepNext/>
      </w:pPr>
      <w:r>
        <w:t>7. Credential, Privilege &amp; Readiness Radar</w:t>
      </w:r>
    </w:p>
    <w:p>
      <w:pPr/>
      <w:r>
        <w:rPr>
          <w:rFonts w:ascii="Calibri" w:hAnsi="Calibri" w:eastAsia="Calibri"/>
          <w:i w:val="0"/>
          <w:color w:val="1F2937"/>
          <w:sz w:val="22"/>
        </w:rPr>
        <w:t>Organizes minimum metadata, official links, evidence locations, user-entered dates, dependencies, and questions across boards, certifiers, employers, medical-staff offices, payers, CE, prescribing, and programs. It reminds and prepares; official sources determine status.</w:t>
      </w:r>
    </w:p>
    <w:p>
      <w:pPr>
        <w:pStyle w:val="Heading2"/>
        <w:keepNext/>
      </w:pPr>
      <w:r>
        <w:t>8. Role Design &amp; Negotiation Lab</w:t>
      </w:r>
    </w:p>
    <w:p>
      <w:pPr/>
      <w:r>
        <w:rPr>
          <w:rFonts w:ascii="Calibri" w:hAnsi="Calibri" w:eastAsia="Calibri"/>
          <w:i w:val="0"/>
          <w:color w:val="1F2937"/>
          <w:sz w:val="22"/>
        </w:rPr>
        <w:t>Maps the clinical, administrative, call, inbox, leadership, teaching, quality, and invisible work actually carried. It converts verified contribution into a value narrative, role conditions, adviser questions, and a calm conversation brief—not legal or compensation advice.</w:t>
      </w:r>
    </w:p>
    <w:p>
      <w:pPr>
        <w:pStyle w:val="Heading2"/>
        <w:keepNext/>
      </w:pPr>
      <w:r>
        <w:t>9. Career Portfolio &amp; Opportunity Navigator</w:t>
      </w:r>
    </w:p>
    <w:p>
      <w:pPr/>
      <w:r>
        <w:rPr>
          <w:rFonts w:ascii="Calibri" w:hAnsi="Calibri" w:eastAsia="Calibri"/>
          <w:i w:val="0"/>
          <w:color w:val="1F2937"/>
          <w:sz w:val="22"/>
        </w:rPr>
        <w:t>Builds a verified capability inventory and multiple possible futures across clinical depth, specialty change, leadership, faculty, research, advisory, consulting, ownership, community, portfolio work, reduced clinical load, or transition.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6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Status label</w:t>
            </w:r>
          </w:p>
        </w:tc>
        <w:tc>
          <w:tcPr>
            <w:tcW w:type="dxa" w:w="6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Meaning</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User-entered</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NP supplied the information; it has not been independently verified.</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Source-linked</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An official or authoritative source is attached for review.</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Last verified [date]</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NP checked the official source on that date; status may still change.</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Verification needed</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responsible authority must confirm the current answer.</w:t>
            </w:r>
          </w:p>
        </w:tc>
      </w:tr>
    </w:tbl>
    <w:p>
      <w:pPr>
        <w:spacing w:before="0" w:after="40"/>
      </w:pP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Career truth: </w:t>
      </w:r>
      <w:r>
        <w:rPr>
          <w:rFonts w:ascii="Calibri" w:hAnsi="Calibri" w:eastAsia="Calibri"/>
          <w:color w:val="1F2937"/>
          <w:sz w:val="22"/>
        </w:rPr>
        <w:t>Exposure is not competence. Study is not certification. Interest is not privilege. NP Wings helps the NP make verified strengths visible without turning aspiration into a false claim.</w:t>
      </w:r>
    </w:p>
    <w:p>
      <w:r>
        <w:br w:type="page"/>
      </w:r>
    </w:p>
    <w:p>
      <w:pPr>
        <w:pStyle w:val="Heading1"/>
        <w:keepNext/>
      </w:pPr>
      <w:r>
        <w:t>G — Grow scholarship, innovation, and impact</w:t>
      </w:r>
    </w:p>
    <w:p>
      <w:pPr>
        <w:pStyle w:val="Heading2"/>
        <w:keepNext/>
      </w:pPr>
      <w:r>
        <w:t>10. Quality &amp; Implementation Lab</w:t>
      </w:r>
    </w:p>
    <w:p>
      <w:pPr/>
      <w:r>
        <w:rPr>
          <w:rFonts w:ascii="Calibri" w:hAnsi="Calibri" w:eastAsia="Calibri"/>
          <w:i w:val="0"/>
          <w:color w:val="1F2937"/>
          <w:sz w:val="22"/>
        </w:rPr>
        <w:t>Creates a problem statement, process map, aim, measure dictionary, balancing measures, governance questions, small reversible pilot, manual fallback, and stop conditions. The institution—not Hermes—determines QI, research, privacy, compliance, and IRB status.</w:t>
      </w:r>
    </w:p>
    <w:p>
      <w:pPr>
        <w:pStyle w:val="Heading2"/>
        <w:keepNext/>
      </w:pPr>
      <w:r>
        <w:t>11. Scholarship, Teaching &amp; Preceptor Forge</w:t>
      </w:r>
    </w:p>
    <w:p>
      <w:pPr/>
      <w:r>
        <w:rPr>
          <w:rFonts w:ascii="Calibri" w:hAnsi="Calibri" w:eastAsia="Calibri"/>
          <w:i w:val="0"/>
          <w:color w:val="1F2937"/>
          <w:sz w:val="22"/>
        </w:rPr>
        <w:t>Transforms expertise into synthetic simulations, objectives, assessments, preceptor plans, posters, abstracts, manuscripts, workshops, and talks with a verified evidence and contribution ledger.</w:t>
      </w:r>
    </w:p>
    <w:p>
      <w:pPr>
        <w:pStyle w:val="Heading2"/>
        <w:keepNext/>
      </w:pPr>
      <w:r>
        <w:t>12. Policy, Advocacy &amp; Public Voice Studio</w:t>
      </w:r>
    </w:p>
    <w:p>
      <w:pPr/>
      <w:r>
        <w:rPr>
          <w:rFonts w:ascii="Calibri" w:hAnsi="Calibri" w:eastAsia="Calibri"/>
          <w:i w:val="0"/>
          <w:color w:val="1F2937"/>
          <w:sz w:val="22"/>
        </w:rPr>
        <w:t>Builds testimony, policy briefs, board memos, public explainers, talks, and content in the NP's human voice while distinguishing personal, employer, and professional positions.</w:t>
      </w:r>
    </w:p>
    <w:p>
      <w:pPr>
        <w:pStyle w:val="Heading2"/>
        <w:keepNext/>
      </w:pPr>
      <w:r>
        <w:t>13. Ethical Venture &amp; Community Impact Lab</w:t>
      </w:r>
    </w:p>
    <w:p>
      <w:pPr/>
      <w:r>
        <w:rPr>
          <w:rFonts w:ascii="Calibri" w:hAnsi="Calibri" w:eastAsia="Calibri"/>
          <w:i w:val="0"/>
          <w:color w:val="1F2937"/>
          <w:sz w:val="22"/>
        </w:rPr>
        <w:t>Stages ethical listening, a value proposition, smallest nonclinical experiment, adviser and conflict map, privacy and regulation questions, time and financial runway, and stop conditions.</w:t>
      </w:r>
    </w:p>
    <w:p>
      <w:pPr>
        <w:pStyle w:val="Heading2"/>
        <w:keepNext/>
      </w:pPr>
      <w:r>
        <w:t>Four integrity questions</w:t>
      </w:r>
    </w:p>
    <w:p>
      <w:pPr>
        <w:keepNext/>
        <w:spacing w:before="0" w:after="80" w:line="300" w:lineRule="auto"/>
        <w:numPr>
          <w:ilvl w:val="0"/>
          <w:numId w:val="14"/>
        </w:numPr>
      </w:pPr>
      <w:r>
        <w:rPr>
          <w:rFonts w:ascii="Calibri" w:hAnsi="Calibri" w:eastAsia="Calibri"/>
          <w:color w:val="1F2937"/>
          <w:sz w:val="22"/>
        </w:rPr>
        <w:t>What information and consent authorize this work?</w:t>
      </w:r>
    </w:p>
    <w:p>
      <w:pPr>
        <w:keepNext/>
        <w:spacing w:before="0" w:after="80" w:line="300" w:lineRule="auto"/>
        <w:numPr>
          <w:ilvl w:val="0"/>
          <w:numId w:val="14"/>
        </w:numPr>
      </w:pPr>
      <w:r>
        <w:rPr>
          <w:rFonts w:ascii="Calibri" w:hAnsi="Calibri" w:eastAsia="Calibri"/>
          <w:color w:val="1F2937"/>
          <w:sz w:val="22"/>
        </w:rPr>
        <w:t>Who determines quality, research, privacy, regulatory, employment, and business status?</w:t>
      </w:r>
    </w:p>
    <w:p>
      <w:pPr>
        <w:keepNext/>
        <w:spacing w:before="0" w:after="80" w:line="300" w:lineRule="auto"/>
        <w:numPr>
          <w:ilvl w:val="0"/>
          <w:numId w:val="14"/>
        </w:numPr>
      </w:pPr>
      <w:r>
        <w:rPr>
          <w:rFonts w:ascii="Calibri" w:hAnsi="Calibri" w:eastAsia="Calibri"/>
          <w:color w:val="1F2937"/>
          <w:sz w:val="22"/>
        </w:rPr>
        <w:t>Which claims, data, citations, authorship, outcomes, endorsements, or demand signals remain unverified?</w:t>
      </w:r>
    </w:p>
    <w:p>
      <w:pPr>
        <w:spacing w:before="0" w:after="80" w:line="300" w:lineRule="auto"/>
        <w:numPr>
          <w:ilvl w:val="0"/>
          <w:numId w:val="14"/>
        </w:numPr>
      </w:pPr>
      <w:r>
        <w:rPr>
          <w:rFonts w:ascii="Calibri" w:hAnsi="Calibri" w:eastAsia="Calibri"/>
          <w:color w:val="1F2937"/>
          <w:sz w:val="22"/>
        </w:rPr>
        <w:t>What is the smallest ethical experiment that teaches something without prematurely launching a clinical or consequential service?</w:t>
      </w: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Enterprise ceiling: </w:t>
      </w:r>
      <w:r>
        <w:rPr>
          <w:rFonts w:ascii="Calibri" w:hAnsi="Calibri" w:eastAsia="Calibri"/>
          <w:color w:val="1F2937"/>
          <w:sz w:val="22"/>
        </w:rPr>
        <w:t>NP Wings can organize research, advisers, risks, and pilots. It cannot declare legal eligibility, solicit patients, launch care, transact money, form an entity, or make unsupported clinical or income claims.</w:t>
      </w:r>
    </w:p>
    <w:p>
      <w:r>
        <w:br w:type="page"/>
      </w:r>
    </w:p>
    <w:p>
      <w:pPr>
        <w:pStyle w:val="Heading1"/>
        <w:keepNext/>
      </w:pPr>
      <w:r>
        <w:t>S — Sustain the person, purpose, and future</w:t>
      </w:r>
    </w:p>
    <w:p>
      <w:pPr>
        <w:pStyle w:val="Heading2"/>
        <w:keepNext/>
      </w:pPr>
      <w:r>
        <w:t>14. Capacity, Recovery &amp; Whole-Life Shield</w:t>
      </w:r>
    </w:p>
    <w:p>
      <w:pPr/>
      <w:r>
        <w:rPr>
          <w:rFonts w:ascii="Calibri" w:hAnsi="Calibri" w:eastAsia="Calibri"/>
          <w:i w:val="0"/>
          <w:color w:val="1F2937"/>
          <w:sz w:val="22"/>
        </w:rPr>
        <w:t>Maps visible and invisible roles, names the current flight and capacity modes, and creates Full, Standard, Minimum, or Re-entry plans. Every version protects one meaningful life commitment and includes a stop boundary.</w:t>
      </w:r>
    </w:p>
    <w:p>
      <w:pPr>
        <w:pStyle w:val="Heading2"/>
        <w:keepNext/>
      </w:pPr>
      <w:r>
        <w:t>15. Financial Optionality, Mission &amp; Legacy Map</w:t>
      </w:r>
    </w:p>
    <w:p>
      <w:pPr/>
      <w:r>
        <w:rPr>
          <w:rFonts w:ascii="Calibri" w:hAnsi="Calibri" w:eastAsia="Calibri"/>
          <w:i w:val="0"/>
          <w:color w:val="1F2937"/>
          <w:sz w:val="22"/>
        </w:rPr>
        <w:t>Explores possible futures—maintain, reduce clinical load, add another role, teach, advise, build, serve, relocate, retire, mentor, or create—while keeping financial content general and preparing questions for qualified advisers.</w:t>
      </w:r>
    </w:p>
    <w:p>
      <w:pPr>
        <w:spacing w:before="120" w:after="80"/>
        <w:jc w:val="center"/>
      </w:pPr>
      <w:r>
        <w:drawing>
          <wp:inline xmlns:a="http://schemas.openxmlformats.org/drawingml/2006/main" xmlns:pic="http://schemas.openxmlformats.org/drawingml/2006/picture">
            <wp:extent cx="5870448" cy="3302127"/>
            <wp:docPr id="3" name="Picture 3" descr="Flight modes make adaptation explicit. A smaller plan is a control system, not a moral judgment." title="Np Wings Flight Modes"/>
            <wp:cNvGraphicFramePr>
              <a:graphicFrameLocks noChangeAspect="1"/>
            </wp:cNvGraphicFramePr>
            <a:graphic>
              <a:graphicData uri="http://schemas.openxmlformats.org/drawingml/2006/picture">
                <pic:pic>
                  <pic:nvPicPr>
                    <pic:cNvPr id="0" name="np-wings-flight-modes.png"/>
                    <pic:cNvPicPr/>
                  </pic:nvPicPr>
                  <pic:blipFill>
                    <a:blip r:embed="rId13"/>
                    <a:stretch>
                      <a:fillRect/>
                    </a:stretch>
                  </pic:blipFill>
                  <pic:spPr>
                    <a:xfrm>
                      <a:off x="0" y="0"/>
                      <a:ext cx="5870448" cy="3302127"/>
                    </a:xfrm>
                    <a:prstGeom prst="rect"/>
                  </pic:spPr>
                </pic:pic>
              </a:graphicData>
            </a:graphic>
          </wp:inline>
        </w:drawing>
      </w:r>
    </w:p>
    <w:p>
      <w:pPr>
        <w:spacing w:before="0" w:after="200"/>
        <w:jc w:val="center"/>
      </w:pPr>
      <w:r>
        <w:rPr>
          <w:rFonts w:ascii="Calibri" w:hAnsi="Calibri" w:eastAsia="Calibri"/>
          <w:i/>
          <w:color w:val="5F6B76"/>
          <w:sz w:val="18"/>
        </w:rPr>
        <w:t>Flight modes make adaptation explicit. A smaller plan is a control system, not a moral judgment.</w:t>
      </w:r>
    </w:p>
    <w:p>
      <w:pPr/>
      <w:r>
        <w:rPr>
          <w:rFonts w:ascii="Calibri" w:hAnsi="Calibri" w:eastAsia="Calibri"/>
          <w:i w:val="0"/>
          <w:color w:val="1F2937"/>
          <w:sz w:val="22"/>
        </w:rPr>
        <w:t>NP Wings does not diagnose burnout, impairment, mental-health conditions, or fitness for duty. Recovery Mode suppresses new Wings, nonessential reminders, streaks, guilt language, and artificial catch-up. Urgent needs go to established human and emergency pathways.</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The whole-life rule: </w:t>
      </w:r>
      <w:r>
        <w:rPr>
          <w:rFonts w:ascii="Calibri" w:hAnsi="Calibri" w:eastAsia="Calibri"/>
          <w:color w:val="1F2937"/>
          <w:sz w:val="22"/>
        </w:rPr>
        <w:t>The practice, career, business, or legacy plan is not valid if it silently consumes the health, relationships, values, or life it was meant to support.</w:t>
      </w:r>
    </w:p>
    <w:p>
      <w:r>
        <w:br w:type="page"/>
      </w:r>
    </w:p>
    <w:p>
      <w:pPr>
        <w:pStyle w:val="Heading1"/>
        <w:keepNext/>
      </w:pPr>
      <w:r>
        <w:t>Your NP Wings Flight Deck</w:t>
      </w:r>
    </w:p>
    <w:p>
      <w:pPr>
        <w:spacing w:before="0" w:after="240" w:line="288" w:lineRule="auto"/>
      </w:pPr>
      <w:r>
        <w:rPr>
          <w:rFonts w:ascii="Calibri" w:hAnsi="Calibri" w:eastAsia="Calibri"/>
          <w:b/>
          <w:color w:val="123047"/>
          <w:sz w:val="26"/>
        </w:rPr>
        <w:t>The Flight Deck asks one humane question first: What kind of lift do you need—time, clarity, influence, opportunity, or recovery?</w:t>
      </w:r>
    </w:p>
    <w:p>
      <w:pPr>
        <w:spacing w:before="120" w:after="80"/>
        <w:jc w:val="center"/>
      </w:pPr>
      <w:r>
        <w:drawing>
          <wp:inline xmlns:a="http://schemas.openxmlformats.org/drawingml/2006/main" xmlns:pic="http://schemas.openxmlformats.org/drawingml/2006/picture">
            <wp:extent cx="5943600" cy="3896360"/>
            <wp:docPr id="4" name="Picture 4" descr="Illustrative Flight Deck: the base Core Four remain; one optional Next Horizon launcher and the secondary Wings Library create lift without dashboard overload." title="Np Wings Flight Deck"/>
            <wp:cNvGraphicFramePr>
              <a:graphicFrameLocks noChangeAspect="1"/>
            </wp:cNvGraphicFramePr>
            <a:graphic>
              <a:graphicData uri="http://schemas.openxmlformats.org/drawingml/2006/picture">
                <pic:pic>
                  <pic:nvPicPr>
                    <pic:cNvPr id="0" name="np-wings-flight-deck.png"/>
                    <pic:cNvPicPr/>
                  </pic:nvPicPr>
                  <pic:blipFill>
                    <a:blip r:embed="rId14"/>
                    <a:stretch>
                      <a:fillRect/>
                    </a:stretch>
                  </pic:blipFill>
                  <pic:spPr>
                    <a:xfrm>
                      <a:off x="0" y="0"/>
                      <a:ext cx="5943600" cy="3896360"/>
                    </a:xfrm>
                    <a:prstGeom prst="rect"/>
                  </pic:spPr>
                </pic:pic>
              </a:graphicData>
            </a:graphic>
          </wp:inline>
        </w:drawing>
      </w:r>
    </w:p>
    <w:p>
      <w:pPr>
        <w:spacing w:before="0" w:after="200"/>
        <w:jc w:val="center"/>
      </w:pPr>
      <w:r>
        <w:rPr>
          <w:rFonts w:ascii="Calibri" w:hAnsi="Calibri" w:eastAsia="Calibri"/>
          <w:i/>
          <w:color w:val="5F6B76"/>
          <w:sz w:val="18"/>
        </w:rPr>
        <w:t>Illustrative Flight Deck: the base Core Four remain; one optional Next Horizon launcher and the secondary Wings Library create lift without dashboard overload.</w:t>
      </w:r>
    </w:p>
    <w:p>
      <w:pPr>
        <w:pStyle w:val="Heading2"/>
        <w:keepNext/>
      </w:pPr>
      <w:r>
        <w:t>Why the deck stays small</w:t>
      </w:r>
    </w:p>
    <w:p>
      <w:pPr/>
      <w:r>
        <w:rPr>
          <w:rFonts w:ascii="Calibri" w:hAnsi="Calibri" w:eastAsia="Calibri"/>
          <w:i w:val="0"/>
          <w:color w:val="1F2937"/>
          <w:sz w:val="22"/>
        </w:rPr>
        <w:t>The Core Four remain Plan My Whole Day, Think &amp; Verify, Credential Radar, and Make This Human. Open My Next Horizon may occupy the fifth position only after approval. All fifteen advanced powers live in the Wings Library until selected. Privacy &amp; Permissions, Review Sources, Activity History, Pause All, and Reset to Safe Defaults remain visible controls.</w:t>
      </w: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No hidden score: </w:t>
      </w:r>
      <w:r>
        <w:rPr>
          <w:rFonts w:ascii="Calibri" w:hAnsi="Calibri" w:eastAsia="Calibri"/>
          <w:color w:val="1F2937"/>
          <w:sz w:val="22"/>
        </w:rPr>
        <w:t>The Flight Deck is not a measure of clinical performance, revenue, productivity, ambition, or human worth. It is a private navigation and control surface.</w:t>
      </w:r>
    </w:p>
    <w:p>
      <w:r>
        <w:br w:type="page"/>
      </w:r>
    </w:p>
    <w:p>
      <w:pPr>
        <w:pStyle w:val="Heading1"/>
        <w:keepNext/>
      </w:pPr>
      <w:r>
        <w:t>Before you install NP Wings</w:t>
      </w:r>
    </w:p>
    <w:p>
      <w:pPr>
        <w:spacing w:before="0" w:after="80" w:line="300" w:lineRule="auto"/>
        <w:numPr>
          <w:ilvl w:val="0"/>
          <w:numId w:val="10"/>
        </w:numPr>
      </w:pPr>
      <w:r>
        <w:rPr>
          <w:rFonts w:ascii="Calibri" w:hAnsi="Calibri" w:eastAsia="Calibri"/>
          <w:color w:val="1F2937"/>
          <w:sz w:val="22"/>
        </w:rPr>
        <w:t>Confirm the Nurse Practitioner Life, Practice &amp; Purpose Empowerment Function is active and working.</w:t>
      </w:r>
    </w:p>
    <w:p>
      <w:pPr>
        <w:spacing w:before="0" w:after="80" w:line="300" w:lineRule="auto"/>
        <w:numPr>
          <w:ilvl w:val="0"/>
          <w:numId w:val="10"/>
        </w:numPr>
      </w:pPr>
      <w:r>
        <w:rPr>
          <w:rFonts w:ascii="Calibri" w:hAnsi="Calibri" w:eastAsia="Calibri"/>
          <w:color w:val="1F2937"/>
          <w:sz w:val="22"/>
        </w:rPr>
        <w:t>Use a personal no-PHI or formally approved workspace with secure authentication.</w:t>
      </w:r>
    </w:p>
    <w:p>
      <w:pPr>
        <w:spacing w:before="0" w:after="80" w:line="300" w:lineRule="auto"/>
        <w:numPr>
          <w:ilvl w:val="0"/>
          <w:numId w:val="10"/>
        </w:numPr>
      </w:pPr>
      <w:r>
        <w:rPr>
          <w:rFonts w:ascii="Calibri" w:hAnsi="Calibri" w:eastAsia="Calibri"/>
          <w:color w:val="1F2937"/>
          <w:sz w:val="22"/>
        </w:rPr>
        <w:t>Keep EHR, prescribing, patient messaging, billing, payer, credentialing, employer, and external publishing disconnected by default.</w:t>
      </w:r>
    </w:p>
    <w:p>
      <w:pPr>
        <w:spacing w:before="0" w:after="80" w:line="300" w:lineRule="auto"/>
        <w:numPr>
          <w:ilvl w:val="0"/>
          <w:numId w:val="10"/>
        </w:numPr>
      </w:pPr>
      <w:r>
        <w:rPr>
          <w:rFonts w:ascii="Calibri" w:hAnsi="Calibri" w:eastAsia="Calibri"/>
          <w:color w:val="1F2937"/>
          <w:sz w:val="22"/>
        </w:rPr>
        <w:t>Bring one professional aspiration, one source of drag, one protected-life outcome, broad role context, and official-source links—not passwords or credential files.</w:t>
      </w:r>
    </w:p>
    <w:p>
      <w:pPr>
        <w:spacing w:before="0" w:after="80" w:line="300" w:lineRule="auto"/>
        <w:numPr>
          <w:ilvl w:val="0"/>
          <w:numId w:val="10"/>
        </w:numPr>
      </w:pPr>
      <w:r>
        <w:rPr>
          <w:rFonts w:ascii="Calibri" w:hAnsi="Calibri" w:eastAsia="Calibri"/>
          <w:color w:val="1F2937"/>
          <w:sz w:val="22"/>
        </w:rPr>
        <w:t>Choose current season and capacity honestly. Recovery Mode is a valid starting point.</w:t>
      </w:r>
    </w:p>
    <w:p>
      <w:pPr>
        <w:spacing w:before="0" w:after="80" w:line="300" w:lineRule="auto"/>
        <w:numPr>
          <w:ilvl w:val="0"/>
          <w:numId w:val="10"/>
        </w:numPr>
      </w:pPr>
      <w:r>
        <w:rPr>
          <w:rFonts w:ascii="Calibri" w:hAnsi="Calibri" w:eastAsia="Calibri"/>
          <w:color w:val="1F2937"/>
          <w:sz w:val="22"/>
        </w:rPr>
        <w:t>Plan to test with public, fictional, synthetic, or low-sensitivity information.</w:t>
      </w:r>
    </w:p>
    <w:p>
      <w:pPr>
        <w:spacing w:before="0" w:after="80" w:line="300" w:lineRule="auto"/>
        <w:numPr>
          <w:ilvl w:val="0"/>
          <w:numId w:val="10"/>
        </w:numPr>
      </w:pPr>
      <w:r>
        <w:rPr>
          <w:rFonts w:ascii="Calibri" w:hAnsi="Calibri" w:eastAsia="Calibri"/>
          <w:color w:val="1F2937"/>
          <w:sz w:val="22"/>
        </w:rPr>
        <w:t>Activate no more than one new Wing in the first week.</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Recommended state: </w:t>
      </w:r>
      <w:r>
        <w:rPr>
          <w:rFonts w:ascii="Calibri" w:hAnsi="Calibri" w:eastAsia="Calibri"/>
          <w:color w:val="1F2937"/>
          <w:sz w:val="22"/>
        </w:rPr>
        <w:t>Memory: Ask before saving. Connections: None. External actions: Off. Automation: Manual, AI-assisted, or Preview only.</w:t>
      </w:r>
    </w:p>
    <w:p>
      <w:pPr>
        <w:pStyle w:val="Heading1"/>
        <w:keepNext/>
      </w:pPr>
      <w:r>
        <w:t>Installation instructions</w:t>
      </w:r>
    </w:p>
    <w:p>
      <w:pPr>
        <w:pStyle w:val="Heading2"/>
        <w:keepNext/>
      </w:pPr>
      <w:r>
        <w:t>1. Give Hermes the complete pack</w:t>
      </w:r>
    </w:p>
    <w:p>
      <w:pPr/>
      <w:r>
        <w:rPr>
          <w:rFonts w:ascii="Calibri" w:hAnsi="Calibri" w:eastAsia="Calibri"/>
          <w:i w:val="0"/>
          <w:color w:val="1F2937"/>
          <w:sz w:val="22"/>
        </w:rPr>
        <w:t>Begin with MASTER-INSTALLER.md. Do not install individual Wing files out of context.</w:t>
      </w:r>
    </w:p>
    <w:p>
      <w:pPr>
        <w:pStyle w:val="Heading2"/>
        <w:keepNext/>
      </w:pPr>
      <w:r>
        <w:t>2. Require an overlay preview</w:t>
      </w:r>
    </w:p>
    <w:p>
      <w:pPr/>
      <w:r>
        <w:rPr>
          <w:rFonts w:ascii="Calibri" w:hAnsi="Calibri" w:eastAsia="Calibri"/>
          <w:i w:val="0"/>
          <w:color w:val="1F2937"/>
          <w:sz w:val="22"/>
        </w:rPr>
        <w:t>Hermes must show what it will add, what it will preserve, and how rollback works.</w:t>
      </w:r>
    </w:p>
    <w:p>
      <w:pPr>
        <w:pStyle w:val="Heading2"/>
        <w:keepNext/>
      </w:pPr>
      <w:r>
        <w:t>3. Complete the airworthiness preflight</w:t>
      </w:r>
    </w:p>
    <w:p>
      <w:pPr/>
      <w:r>
        <w:rPr>
          <w:rFonts w:ascii="Calibri" w:hAnsi="Calibri" w:eastAsia="Calibri"/>
          <w:i w:val="0"/>
          <w:color w:val="1F2937"/>
          <w:sz w:val="22"/>
        </w:rPr>
        <w:t>Verify the base program, no-PHI boundary, Practice Boundary Check, memory controls, Core Four, Pause All, and Markdown fallback.</w:t>
      </w:r>
    </w:p>
    <w:p>
      <w:pPr>
        <w:pStyle w:val="Heading2"/>
        <w:keepNext/>
      </w:pPr>
      <w:r>
        <w:t>4. Answer one question at a time</w:t>
      </w:r>
    </w:p>
    <w:p>
      <w:pPr/>
      <w:r>
        <w:rPr>
          <w:rFonts w:ascii="Calibri" w:hAnsi="Calibri" w:eastAsia="Calibri"/>
          <w:i w:val="0"/>
          <w:color w:val="1F2937"/>
          <w:sz w:val="22"/>
        </w:rPr>
        <w:t>Use skip, not now, and session only. Never supply patient details, secrets, or unnecessary sensitive information.</w:t>
      </w:r>
    </w:p>
    <w:p>
      <w:pPr>
        <w:pStyle w:val="Heading2"/>
        <w:keepNext/>
      </w:pPr>
      <w:r>
        <w:t>5. Approve the activation card</w:t>
      </w:r>
    </w:p>
    <w:p>
      <w:pPr/>
      <w:r>
        <w:rPr>
          <w:rFonts w:ascii="Calibri" w:hAnsi="Calibri" w:eastAsia="Calibri"/>
          <w:i w:val="0"/>
          <w:color w:val="1F2937"/>
          <w:sz w:val="22"/>
        </w:rPr>
        <w:t>Review aspiration, protected-life outcome, selected Wing, records, memory, sources, permissions, automation ceiling, and success measure.</w:t>
      </w:r>
    </w:p>
    <w:p>
      <w:pPr>
        <w:pStyle w:val="Heading2"/>
        <w:keepNext/>
      </w:pPr>
      <w:r>
        <w:t>6. Run one safe preview</w:t>
      </w:r>
    </w:p>
    <w:p>
      <w:pPr/>
      <w:r>
        <w:rPr>
          <w:rFonts w:ascii="Calibri" w:hAnsi="Calibri" w:eastAsia="Calibri"/>
          <w:i w:val="0"/>
          <w:color w:val="1F2937"/>
          <w:sz w:val="22"/>
        </w:rPr>
        <w:t>Use synthetic or low-sensitivity information and correct every assumption.</w:t>
      </w:r>
    </w:p>
    <w:p>
      <w:pPr>
        <w:pStyle w:val="Heading2"/>
        <w:keepNext/>
      </w:pPr>
      <w:r>
        <w:t>7. Keep only what creates lift</w:t>
      </w:r>
    </w:p>
    <w:p>
      <w:pPr/>
      <w:r>
        <w:rPr>
          <w:rFonts w:ascii="Calibri" w:hAnsi="Calibri" w:eastAsia="Calibri"/>
          <w:i w:val="0"/>
          <w:color w:val="1F2937"/>
          <w:sz w:val="22"/>
        </w:rPr>
        <w:t>Review usefulness, burden, privacy, accuracy, and independent judgment after seven and thirty days.</w:t>
      </w:r>
    </w:p>
    <w:p>
      <w:pPr>
        <w:pStyle w:val="Heading1"/>
        <w:keepNext/>
      </w:pPr>
      <w:r>
        <w:t>Your seven-day takeoff</w:t>
      </w:r>
    </w:p>
    <w:p>
      <w:pPr/>
      <w:r>
        <w:rPr>
          <w:rFonts w:ascii="Calibri" w:hAnsi="Calibri" w:eastAsia="Calibri"/>
          <w:i w:val="0"/>
          <w:color w:val="1F2937"/>
          <w:sz w:val="22"/>
        </w:rPr>
        <w:t>Each activity takes about 15–25 minutes. No connectors, external actions, or unattended automation are required.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700"/>
        <w:gridCol w:w="4900"/>
        <w:gridCol w:w="3760"/>
      </w:tblGrid>
      <w:tr>
        <w:trPr>
          <w:cantSplit/>
          <w:tblHeader w:val="true"/>
          <w:cantSplit/>
        </w:trPr>
        <w:tc>
          <w:tcPr>
            <w:tcW w:type="dxa" w:w="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Day</w:t>
            </w:r>
          </w:p>
        </w:tc>
        <w:tc>
          <w:tcPr>
            <w:tcW w:type="dxa" w:w="4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Takeoff activity</w:t>
            </w:r>
          </w:p>
        </w:tc>
        <w:tc>
          <w:tcPr>
            <w:tcW w:type="dxa" w:w="3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Artifact</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Choose the lift: aspiration, drag, flight mode, capacity, protected life, and not-now list</w:t>
            </w:r>
          </w:p>
        </w:tc>
        <w:tc>
          <w:tcPr>
            <w:tcW w:type="dxa" w:w="3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Next Horizon card</w:t>
            </w:r>
          </w:p>
        </w:tc>
      </w:tr>
      <w:tr>
        <w:trPr>
          <w:cantSplit/>
        </w:trPr>
        <w:tc>
          <w:tcPr>
            <w:tcW w:type="dxa" w:w="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4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Build the broad Practice Passport and official-verification queue</w:t>
            </w:r>
          </w:p>
        </w:tc>
        <w:tc>
          <w:tcPr>
            <w:tcW w:type="dxa" w:w="3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Seven-gate passport</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user-entered credential and readiness metadata</w:t>
            </w:r>
          </w:p>
        </w:tc>
        <w:tc>
          <w:tcPr>
            <w:tcW w:type="dxa" w:w="3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Readiness runway</w:t>
            </w:r>
          </w:p>
        </w:tc>
      </w:tr>
      <w:tr>
        <w:trPr>
          <w:cantSplit/>
        </w:trPr>
        <w:tc>
          <w:tcPr>
            <w:tcW w:type="dxa" w:w="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4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 one evidence brief or clearly fictional mastery simulation</w:t>
            </w:r>
          </w:p>
        </w:tc>
        <w:tc>
          <w:tcPr>
            <w:tcW w:type="dxa" w:w="3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ledger or debrief</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Prepare one conversation, meeting, proposal, teaching plan, or explainer</w:t>
            </w:r>
          </w:p>
        </w:tc>
        <w:tc>
          <w:tcPr>
            <w:tcW w:type="dxa" w:w="3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influence brief</w:t>
            </w:r>
          </w:p>
        </w:tc>
      </w:tr>
      <w:tr>
        <w:trPr>
          <w:cantSplit/>
        </w:trPr>
        <w:tc>
          <w:tcPr>
            <w:tcW w:type="dxa" w:w="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6</w:t>
            </w:r>
          </w:p>
        </w:tc>
        <w:tc>
          <w:tcPr>
            <w:tcW w:type="dxa" w:w="4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 one aspiration Wing and one reversible experiment</w:t>
            </w:r>
          </w:p>
        </w:tc>
        <w:tc>
          <w:tcPr>
            <w:tcW w:type="dxa" w:w="3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90-day runway draft</w:t>
            </w:r>
          </w:p>
        </w:tc>
      </w:tr>
      <w:tr>
        <w:trPr>
          <w:cantSplit/>
        </w:trPr>
        <w:tc>
          <w:tcPr>
            <w:tcW w:type="dxa" w:w="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w:t>
            </w:r>
          </w:p>
        </w:tc>
        <w:tc>
          <w:tcPr>
            <w:tcW w:type="dxa" w:w="4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privacy, sources, permissions, burden, controls, and independent judgment</w:t>
            </w:r>
          </w:p>
        </w:tc>
        <w:tc>
          <w:tcPr>
            <w:tcW w:type="dxa" w:w="3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Activation report</w:t>
            </w:r>
          </w:p>
        </w:tc>
      </w:tr>
    </w:tbl>
    <w:p>
      <w:pPr>
        <w:spacing w:before="0" w:after="40"/>
      </w:pP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Day-seven decision: </w:t>
      </w:r>
      <w:r>
        <w:rPr>
          <w:rFonts w:ascii="Calibri" w:hAnsi="Calibri" w:eastAsia="Calibri"/>
          <w:color w:val="1F2937"/>
          <w:sz w:val="22"/>
        </w:rPr>
        <w:t>Keep no more than one newly active Wing. A useful Wing should return attention, clarity, mastery, influence, opportunity, support, or protected capacity—not merely generate tasks.</w:t>
      </w:r>
    </w:p>
    <w:p>
      <w:pPr>
        <w:pStyle w:val="Heading1"/>
        <w:keepNext/>
      </w:pPr>
      <w:r>
        <w:t>The first 90 days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200"/>
        <w:gridCol w:w="7160"/>
      </w:tblGrid>
      <w:tr>
        <w:trPr>
          <w:cantSplit/>
          <w:tblHeader w:val="true"/>
          <w:cantSplit/>
        </w:trPr>
        <w:tc>
          <w:tcPr>
            <w:tcW w:type="dxa" w:w="2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Stage</w:t>
            </w:r>
          </w:p>
        </w:tc>
        <w:tc>
          <w:tcPr>
            <w:tcW w:type="dxa" w:w="7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Focus</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Days 1–30 — Prepare</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Verify authority and sources, map support, define evidence, and take one reversible step.</w:t>
            </w:r>
          </w:p>
        </w:tc>
      </w:tr>
      <w:tr>
        <w:trPr>
          <w:cantSplit/>
        </w:trPr>
        <w:tc>
          <w:tcPr>
            <w:tcW w:type="dxa" w:w="2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Days 31–60 — Test</w:t>
            </w:r>
          </w:p>
        </w:tc>
        <w:tc>
          <w:tcPr>
            <w:tcW w:type="dxa" w:w="7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Run a supervised experiment, gather evidence and feedback, and review burden and recovery.</w:t>
            </w:r>
          </w:p>
        </w:tc>
      </w:tr>
      <w:tr>
        <w:trPr>
          <w:cantSplit/>
        </w:trPr>
        <w:tc>
          <w:tcPr>
            <w:tcW w:type="dxa" w:w="2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Days 61–90 — Decide</w:t>
            </w:r>
          </w:p>
        </w:tc>
        <w:tc>
          <w:tcPr>
            <w:tcW w:type="dxa" w:w="7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Continue, customize, pause, release, or choose the next horizon.</w:t>
            </w:r>
          </w:p>
        </w:tc>
      </w:tr>
    </w:tbl>
    <w:p>
      <w:pPr>
        <w:spacing w:before="0" w:after="40"/>
      </w:pPr>
    </w:p>
    <w:p>
      <w:r>
        <w:br w:type="page"/>
      </w:r>
    </w:p>
    <w:p>
      <w:pPr>
        <w:pStyle w:val="Heading1"/>
        <w:keepNext/>
      </w:pPr>
      <w:r>
        <w:t>How NP Wings meets different situations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450"/>
        <w:gridCol w:w="3850"/>
        <w:gridCol w:w="3060"/>
      </w:tblGrid>
      <w:tr>
        <w:trPr>
          <w:cantSplit/>
          <w:tblHeader w:val="true"/>
          <w:cantSplit/>
        </w:trPr>
        <w:tc>
          <w:tcPr>
            <w:tcW w:type="dxa" w:w="24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Situation</w:t>
            </w:r>
          </w:p>
        </w:tc>
        <w:tc>
          <w:tcPr>
            <w:tcW w:type="dxa" w:w="38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Lift NP Wings can provide</w:t>
            </w:r>
          </w:p>
        </w:tc>
        <w:tc>
          <w:tcPr>
            <w:tcW w:type="dxa" w:w="3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Human or official gate</w:t>
            </w:r>
          </w:p>
        </w:tc>
      </w:tr>
      <w:tr>
        <w:trPr>
          <w:cantSplit/>
        </w:trPr>
        <w:tc>
          <w:tcPr>
            <w:tcW w:type="dxa" w:w="2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New graduate NP</w:t>
            </w:r>
          </w:p>
        </w:tc>
        <w:tc>
          <w:tcPr>
            <w:tcW w:type="dxa" w:w="3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90-day ramp, Practice Passport, readiness runway, fictional mastery, mentor questions</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Board, certifier, employer, credentialing, privileges, preceptor</w:t>
            </w:r>
          </w:p>
        </w:tc>
      </w:tr>
      <w:tr>
        <w:trPr>
          <w:cantSplit/>
        </w:trPr>
        <w:tc>
          <w:tcPr>
            <w:tcW w:type="dxa" w:w="2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Overloaded acute, specialty, shift, or on-call NP</w:t>
            </w:r>
          </w:p>
        </w:tc>
        <w:tc>
          <w:tcPr>
            <w:tcW w:type="dxa" w:w="3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Tight Mode, one essential move, admin friction map, protected family action, re-entry</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Clinical and organizational chain; no patient details</w:t>
            </w:r>
          </w:p>
        </w:tc>
      </w:tr>
      <w:tr>
        <w:trPr>
          <w:cantSplit/>
        </w:trPr>
        <w:tc>
          <w:tcPr>
            <w:tcW w:type="dxa" w:w="2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Experienced NP with invisible contribution</w:t>
            </w:r>
          </w:p>
        </w:tc>
        <w:tc>
          <w:tcPr>
            <w:tcW w:type="dxa" w:w="3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Value dossier, shared-credit impact portfolio, promotion or negotiation brief</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Manager, HR, collaborators, evidence owner, advisers</w:t>
            </w:r>
          </w:p>
        </w:tc>
      </w:tr>
      <w:tr>
        <w:trPr>
          <w:cantSplit/>
        </w:trPr>
        <w:tc>
          <w:tcPr>
            <w:tcW w:type="dxa" w:w="2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NP changing specialty or setting</w:t>
            </w:r>
          </w:p>
        </w:tc>
        <w:tc>
          <w:tcPr>
            <w:tcW w:type="dxa" w:w="3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Education/competence/authority gap map, possible futures, reversible learning plan</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Board, certifier, employer, privileges, preceptor, specialists</w:t>
            </w:r>
          </w:p>
        </w:tc>
      </w:tr>
      <w:tr>
        <w:trPr>
          <w:cantSplit/>
        </w:trPr>
        <w:tc>
          <w:tcPr>
            <w:tcW w:type="dxa" w:w="24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Educator, preceptor, or scholar</w:t>
            </w:r>
          </w:p>
        </w:tc>
        <w:tc>
          <w:tcPr>
            <w:tcW w:type="dxa" w:w="38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Synthetic simulation, objectives, assessment ideas, teaching portfolio, publication runway</w:t>
            </w:r>
          </w:p>
        </w:tc>
        <w:tc>
          <w:tcPr>
            <w:tcW w:type="dxa" w:w="3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Academic policy, learner authority, venue, attribution, disclosure</w:t>
            </w:r>
          </w:p>
        </w:tc>
      </w:tr>
      <w:tr>
        <w:trPr>
          <w:cantSplit/>
        </w:trPr>
        <w:tc>
          <w:tcPr>
            <w:tcW w:type="dxa" w:w="24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Leader or quality innovator</w:t>
            </w:r>
          </w:p>
        </w:tc>
        <w:tc>
          <w:tcPr>
            <w:tcW w:type="dxa" w:w="38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Decision brief, stakeholders, measures, governed pilot, sustainability questions</w:t>
            </w:r>
          </w:p>
        </w:tc>
        <w:tc>
          <w:tcPr>
            <w:tcW w:type="dxa" w:w="3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Quality, privacy, research/IRB, compliance, operations, data governance</w:t>
            </w:r>
          </w:p>
        </w:tc>
      </w:tr>
    </w:tbl>
    <w:p>
      <w:pPr>
        <w:spacing w:before="0" w:after="40"/>
      </w:pPr>
    </w:p>
    <w:p>
      <w:pPr>
        <w:pStyle w:val="Heading2"/>
        <w:keepNext/>
      </w:pPr>
      <w:r>
        <w:t>More paths are valid</w:t>
      </w:r>
    </w:p>
    <w:p>
      <w:pPr>
        <w:spacing w:before="0" w:after="80" w:line="300" w:lineRule="auto"/>
        <w:numPr>
          <w:ilvl w:val="0"/>
          <w:numId w:val="10"/>
        </w:numPr>
      </w:pPr>
      <w:r>
        <w:rPr>
          <w:rFonts w:ascii="Calibri" w:hAnsi="Calibri" w:eastAsia="Calibri"/>
          <w:color w:val="1F2937"/>
          <w:sz w:val="22"/>
        </w:rPr>
        <w:t>The aspiring practice owner receives a feasibility and adviser runway—not a declaration of legal eligibility.</w:t>
      </w:r>
    </w:p>
    <w:p>
      <w:pPr>
        <w:spacing w:before="0" w:after="80" w:line="300" w:lineRule="auto"/>
        <w:numPr>
          <w:ilvl w:val="0"/>
          <w:numId w:val="10"/>
        </w:numPr>
      </w:pPr>
      <w:r>
        <w:rPr>
          <w:rFonts w:ascii="Calibri" w:hAnsi="Calibri" w:eastAsia="Calibri"/>
          <w:color w:val="1F2937"/>
          <w:sz w:val="22"/>
        </w:rPr>
        <w:t>The community builder receives consented listening, stakeholder, equity, accessibility, pilot, and governance plans—not a patient-care protocol.</w:t>
      </w:r>
    </w:p>
    <w:p>
      <w:pPr>
        <w:spacing w:before="0" w:after="80" w:line="300" w:lineRule="auto"/>
        <w:numPr>
          <w:ilvl w:val="0"/>
          <w:numId w:val="10"/>
        </w:numPr>
      </w:pPr>
      <w:r>
        <w:rPr>
          <w:rFonts w:ascii="Calibri" w:hAnsi="Calibri" w:eastAsia="Calibri"/>
          <w:color w:val="1F2937"/>
          <w:sz w:val="22"/>
        </w:rPr>
        <w:t>The public educator receives evidence, role-position disclosure, Human Standard, and exact channel preview—not appropriated stories or invented consensus.</w:t>
      </w:r>
    </w:p>
    <w:p>
      <w:pPr>
        <w:spacing w:before="0" w:after="80" w:line="300" w:lineRule="auto"/>
        <w:numPr>
          <w:ilvl w:val="0"/>
          <w:numId w:val="10"/>
        </w:numPr>
      </w:pPr>
      <w:r>
        <w:rPr>
          <w:rFonts w:ascii="Calibri" w:hAnsi="Calibri" w:eastAsia="Calibri"/>
          <w:color w:val="1F2937"/>
          <w:sz w:val="22"/>
        </w:rPr>
        <w:t>The NP in a demanding family or health season receives Recovery Mode—not another system to manage.</w:t>
      </w:r>
    </w:p>
    <w:p>
      <w:pPr>
        <w:spacing w:before="0" w:after="80" w:line="300" w:lineRule="auto"/>
        <w:numPr>
          <w:ilvl w:val="0"/>
          <w:numId w:val="10"/>
        </w:numPr>
      </w:pPr>
      <w:r>
        <w:rPr>
          <w:rFonts w:ascii="Calibri" w:hAnsi="Calibri" w:eastAsia="Calibri"/>
          <w:color w:val="1F2937"/>
          <w:sz w:val="22"/>
        </w:rPr>
        <w:t>The NP considering reduced clinical load, retirement, or a portfolio career receives possible futures, adviser questions, succession, and a deliberate landing—not pressure to keep producing.</w:t>
      </w:r>
    </w:p>
    <w:p>
      <w:r>
        <w:br w:type="page"/>
      </w:r>
    </w:p>
    <w:p>
      <w:pPr>
        <w:pStyle w:val="Heading1"/>
        <w:keepNext/>
      </w:pPr>
      <w:r>
        <w:t>Choose a recipe—not every Wing</w:t>
      </w:r>
    </w:p>
    <w:p>
      <w:pPr>
        <w:spacing w:before="0" w:after="240" w:line="288" w:lineRule="auto"/>
      </w:pPr>
      <w:r>
        <w:rPr>
          <w:rFonts w:ascii="Calibri" w:hAnsi="Calibri" w:eastAsia="Calibri"/>
          <w:b/>
          <w:color w:val="123047"/>
          <w:sz w:val="26"/>
        </w:rPr>
        <w:t>Begin with the aspiration and source of drag. One coherent recipe is more powerful than fifteen active modules.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700"/>
        <w:gridCol w:w="6660"/>
      </w:tblGrid>
      <w:tr>
        <w:trPr>
          <w:cantSplit/>
          <w:tblHeader w:val="true"/>
          <w:cantSplit/>
        </w:trPr>
        <w:tc>
          <w:tcPr>
            <w:tcW w:type="dxa" w:w="27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Goal</w:t>
            </w:r>
          </w:p>
        </w:tc>
        <w:tc>
          <w:tcPr>
            <w:tcW w:type="dxa" w:w="66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Recommended first recipe</w:t>
            </w:r>
          </w:p>
        </w:tc>
      </w:tr>
      <w:tr>
        <w:trPr>
          <w:cantSplit/>
        </w:trPr>
        <w:tc>
          <w:tcPr>
            <w:tcW w:type="dxa" w:w="2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Strengthen mastery</w:t>
            </w:r>
          </w:p>
        </w:tc>
        <w:tc>
          <w:tcPr>
            <w:tcW w:type="dxa" w:w="6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Bridge + fictional Mastery Simulator; one learning artifact</w:t>
            </w:r>
          </w:p>
        </w:tc>
      </w:tr>
      <w:tr>
        <w:trPr>
          <w:cantSplit/>
        </w:trPr>
        <w:tc>
          <w:tcPr>
            <w:tcW w:type="dxa" w:w="2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Clarify role or authority</w:t>
            </w:r>
          </w:p>
        </w:tc>
        <w:tc>
          <w:tcPr>
            <w:tcW w:type="dxa" w:w="6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Practice Authority Navigator; current sources and official questions</w:t>
            </w:r>
          </w:p>
        </w:tc>
      </w:tr>
      <w:tr>
        <w:trPr>
          <w:cantSplit/>
        </w:trPr>
        <w:tc>
          <w:tcPr>
            <w:tcW w:type="dxa" w:w="2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Improve workload or compensation</w:t>
            </w:r>
          </w:p>
        </w:tc>
        <w:tc>
          <w:tcPr>
            <w:tcW w:type="dxa" w:w="6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Capacity Shield + Value Dossier + Negotiation Lab</w:t>
            </w:r>
          </w:p>
        </w:tc>
      </w:tr>
      <w:tr>
        <w:trPr>
          <w:cantSplit/>
        </w:trPr>
        <w:tc>
          <w:tcPr>
            <w:tcW w:type="dxa" w:w="2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Lead a change</w:t>
            </w:r>
          </w:p>
        </w:tc>
        <w:tc>
          <w:tcPr>
            <w:tcW w:type="dxa" w:w="6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Leadership Studio + Practice Model Builder; one governed pilot</w:t>
            </w:r>
          </w:p>
        </w:tc>
      </w:tr>
      <w:tr>
        <w:trPr>
          <w:cantSplit/>
        </w:trPr>
        <w:tc>
          <w:tcPr>
            <w:tcW w:type="dxa" w:w="2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Teach or publish</w:t>
            </w:r>
          </w:p>
        </w:tc>
        <w:tc>
          <w:tcPr>
            <w:tcW w:type="dxa" w:w="6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Scholarship Forge + verified evidence ledger</w:t>
            </w:r>
          </w:p>
        </w:tc>
      </w:tr>
      <w:tr>
        <w:trPr>
          <w:cantSplit/>
        </w:trPr>
        <w:tc>
          <w:tcPr>
            <w:tcW w:type="dxa" w:w="2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Build public influence</w:t>
            </w:r>
          </w:p>
        </w:tc>
        <w:tc>
          <w:tcPr>
            <w:tcW w:type="dxa" w:w="6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Evidence Bridge + Public Voice Studio + role-position disclosure</w:t>
            </w:r>
          </w:p>
        </w:tc>
      </w:tr>
      <w:tr>
        <w:trPr>
          <w:cantSplit/>
        </w:trPr>
        <w:tc>
          <w:tcPr>
            <w:tcW w:type="dxa" w:w="2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Explore a practice or venture</w:t>
            </w:r>
          </w:p>
        </w:tc>
        <w:tc>
          <w:tcPr>
            <w:tcW w:type="dxa" w:w="6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Authority Navigator + Ethical Venture Lab + adviser map</w:t>
            </w:r>
          </w:p>
        </w:tc>
      </w:tr>
      <w:tr>
        <w:trPr>
          <w:cantSplit/>
        </w:trPr>
        <w:tc>
          <w:tcPr>
            <w:tcW w:type="dxa" w:w="27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Design a portfolio future</w:t>
            </w:r>
          </w:p>
        </w:tc>
        <w:tc>
          <w:tcPr>
            <w:tcW w:type="dxa" w:w="66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Career Navigator + Optionality and Legacy Map + protected-life condition</w:t>
            </w:r>
          </w:p>
        </w:tc>
      </w:tr>
      <w:tr>
        <w:trPr>
          <w:cantSplit/>
        </w:trPr>
        <w:tc>
          <w:tcPr>
            <w:tcW w:type="dxa" w:w="27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Recover</w:t>
            </w:r>
          </w:p>
        </w:tc>
        <w:tc>
          <w:tcPr>
            <w:tcW w:type="dxa" w:w="66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Capacity, Recovery &amp; Whole-Life Shield only; suppress new Wings</w:t>
            </w:r>
          </w:p>
        </w:tc>
      </w:tr>
    </w:tbl>
    <w:p>
      <w:pPr>
        <w:spacing w:before="0" w:after="40"/>
      </w:pPr>
    </w:p>
    <w:p>
      <w:pPr>
        <w:spacing w:before="120" w:after="200" w:line="276" w:lineRule="auto"/>
        <w:shd w:fill="EEECF8"/>
        <w:pBdr>
          <w:left w:val="single" w:sz="18" w:space="8" w:color="6255A5"/>
        </w:pBdr>
        <w:ind w:left="180" w:right="120"/>
      </w:pPr>
      <w:r>
        <w:rPr>
          <w:rFonts w:ascii="Calibri" w:hAnsi="Calibri" w:eastAsia="Calibri"/>
          <w:b/>
          <w:color w:val="123047"/>
          <w:sz w:val="22"/>
        </w:rPr>
        <w:t xml:space="preserve">Activation rule: </w:t>
      </w:r>
      <w:r>
        <w:rPr>
          <w:rFonts w:ascii="Calibri" w:hAnsi="Calibri" w:eastAsia="Calibri"/>
          <w:color w:val="1F2937"/>
          <w:sz w:val="22"/>
        </w:rPr>
        <w:t>NP Wings recommends one recipe at a time, explains its capacity cost and boundary, and permits the NP to reject it without blocking any base function.</w:t>
      </w:r>
    </w:p>
    <w:p>
      <w:r>
        <w:br w:type="page"/>
      </w:r>
    </w:p>
    <w:p>
      <w:pPr>
        <w:pStyle w:val="Heading1"/>
        <w:keepNext/>
      </w:pPr>
      <w:r>
        <w:t>Safe automation: lift must be earned</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500"/>
        <w:gridCol w:w="4250"/>
        <w:gridCol w:w="3610"/>
      </w:tblGrid>
      <w:tr>
        <w:trPr>
          <w:cantSplit/>
          <w:tblHeader w:val="true"/>
          <w:cantSplit/>
        </w:trPr>
        <w:tc>
          <w:tcPr>
            <w:tcW w:type="dxa" w:w="1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Level</w:t>
            </w:r>
          </w:p>
        </w:tc>
        <w:tc>
          <w:tcPr>
            <w:tcW w:type="dxa" w:w="42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Meaning</w:t>
            </w:r>
          </w:p>
        </w:tc>
        <w:tc>
          <w:tcPr>
            <w:tcW w:type="dxa" w:w="361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NP Wings ceiling</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Manual</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NP performs the work with a checklist</w:t>
            </w:r>
          </w:p>
        </w:tc>
        <w:tc>
          <w:tcPr>
            <w:tcW w:type="dxa" w:w="3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Available for every permitted workflow</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AI-assisted</w:t>
            </w:r>
          </w:p>
        </w:tc>
        <w:tc>
          <w:tcPr>
            <w:tcW w:type="dxa" w:w="4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Hermes helps with one private step</w:t>
            </w:r>
          </w:p>
        </w:tc>
        <w:tc>
          <w:tcPr>
            <w:tcW w:type="dxa" w:w="3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Green–Orange preparation</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Hermes prepares the full output with no external effect</w:t>
            </w:r>
          </w:p>
        </w:tc>
        <w:tc>
          <w:tcPr>
            <w:tcW w:type="dxa" w:w="3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Default for every new Wing</w:t>
            </w:r>
          </w:p>
        </w:tc>
      </w:tr>
      <w:tr>
        <w:trPr>
          <w:cantSplit/>
        </w:trPr>
        <w:tc>
          <w:tcPr>
            <w:tcW w:type="dxa" w:w="1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Approval-gated</w:t>
            </w:r>
          </w:p>
        </w:tc>
        <w:tc>
          <w:tcPr>
            <w:tcW w:type="dxa" w:w="42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exact approved reversible action may occur in a separately governed workflow</w:t>
            </w:r>
          </w:p>
        </w:tc>
        <w:tc>
          <w:tcPr>
            <w:tcW w:type="dxa" w:w="361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Orange ceiling; changed scope requires new approval</w:t>
            </w:r>
          </w:p>
        </w:tc>
      </w:tr>
      <w:tr>
        <w:trPr>
          <w:cantSplit/>
        </w:trPr>
        <w:tc>
          <w:tcPr>
            <w:tcW w:type="dxa" w:w="1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Monitored</w:t>
            </w:r>
          </w:p>
        </w:tc>
        <w:tc>
          <w:tcPr>
            <w:tcW w:type="dxa" w:w="42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proven low-risk workflow runs inside fixed boundaries with receipts and stop controls</w:t>
            </w:r>
          </w:p>
        </w:tc>
        <w:tc>
          <w:tcPr>
            <w:tcW w:type="dxa" w:w="361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Green; selected Yellow only after governance review</w:t>
            </w:r>
          </w:p>
        </w:tc>
      </w:tr>
    </w:tbl>
    <w:p>
      <w:pPr>
        <w:spacing w:before="0" w:after="40"/>
      </w:pPr>
    </w:p>
    <w:p>
      <w:pPr>
        <w:spacing w:before="120" w:after="200" w:line="276" w:lineRule="auto"/>
        <w:shd w:fill="F8E8E7"/>
        <w:pBdr>
          <w:left w:val="single" w:sz="18" w:space="8" w:color="B95756"/>
        </w:pBdr>
        <w:ind w:left="180" w:right="120"/>
      </w:pPr>
      <w:r>
        <w:rPr>
          <w:rFonts w:ascii="Calibri" w:hAnsi="Calibri" w:eastAsia="Calibri"/>
          <w:b/>
          <w:color w:val="123047"/>
          <w:sz w:val="22"/>
        </w:rPr>
        <w:t xml:space="preserve">Permanent ceiling: </w:t>
      </w:r>
      <w:r>
        <w:rPr>
          <w:rFonts w:ascii="Calibri" w:hAnsi="Calibri" w:eastAsia="Calibri"/>
          <w:color w:val="1F2937"/>
          <w:sz w:val="22"/>
        </w:rPr>
        <w:t>Patient care, PHI, prescriptions, orders, charts, claims, attestations, credential status, QI/research classification, legal conclusions, and other regulated actions do not graduate through NP Wings.</w:t>
      </w:r>
    </w:p>
    <w:p>
      <w:pPr>
        <w:pStyle w:val="Heading2"/>
        <w:keepNext/>
      </w:pPr>
      <w:r>
        <w:t>What a Wing must show before it runs</w:t>
      </w:r>
    </w:p>
    <w:p>
      <w:pPr>
        <w:spacing w:before="0" w:after="80" w:line="300" w:lineRule="auto"/>
        <w:numPr>
          <w:ilvl w:val="0"/>
          <w:numId w:val="10"/>
        </w:numPr>
      </w:pPr>
      <w:r>
        <w:rPr>
          <w:rFonts w:ascii="Calibri" w:hAnsi="Calibri" w:eastAsia="Calibri"/>
          <w:color w:val="1F2937"/>
          <w:sz w:val="22"/>
        </w:rPr>
        <w:t>Expected lift, estimated time, and capacity cost</w:t>
      </w:r>
    </w:p>
    <w:p>
      <w:pPr>
        <w:spacing w:before="0" w:after="80" w:line="300" w:lineRule="auto"/>
        <w:numPr>
          <w:ilvl w:val="0"/>
          <w:numId w:val="10"/>
        </w:numPr>
      </w:pPr>
      <w:r>
        <w:rPr>
          <w:rFonts w:ascii="Calibri" w:hAnsi="Calibri" w:eastAsia="Calibri"/>
          <w:color w:val="1F2937"/>
          <w:sz w:val="22"/>
        </w:rPr>
        <w:t>Permitted and prohibited information</w:t>
      </w:r>
    </w:p>
    <w:p>
      <w:pPr>
        <w:spacing w:before="0" w:after="80" w:line="300" w:lineRule="auto"/>
        <w:numPr>
          <w:ilvl w:val="0"/>
          <w:numId w:val="10"/>
        </w:numPr>
      </w:pPr>
      <w:r>
        <w:rPr>
          <w:rFonts w:ascii="Calibri" w:hAnsi="Calibri" w:eastAsia="Calibri"/>
          <w:color w:val="1F2937"/>
          <w:sz w:val="22"/>
        </w:rPr>
        <w:t>Base records read and new records proposed</w:t>
      </w:r>
    </w:p>
    <w:p>
      <w:pPr>
        <w:spacing w:before="0" w:after="80" w:line="300" w:lineRule="auto"/>
        <w:numPr>
          <w:ilvl w:val="0"/>
          <w:numId w:val="10"/>
        </w:numPr>
      </w:pPr>
      <w:r>
        <w:rPr>
          <w:rFonts w:ascii="Calibri" w:hAnsi="Calibri" w:eastAsia="Calibri"/>
          <w:color w:val="1F2937"/>
          <w:sz w:val="22"/>
        </w:rPr>
        <w:t>EDENA tier, source needs, and human decision owner</w:t>
      </w:r>
    </w:p>
    <w:p>
      <w:pPr>
        <w:spacing w:before="0" w:after="80" w:line="300" w:lineRule="auto"/>
        <w:numPr>
          <w:ilvl w:val="0"/>
          <w:numId w:val="10"/>
        </w:numPr>
      </w:pPr>
      <w:r>
        <w:rPr>
          <w:rFonts w:ascii="Calibri" w:hAnsi="Calibri" w:eastAsia="Calibri"/>
          <w:color w:val="1F2937"/>
          <w:sz w:val="22"/>
        </w:rPr>
        <w:t>Memory, permissions, destination, and external effect</w:t>
      </w:r>
    </w:p>
    <w:p>
      <w:pPr>
        <w:spacing w:before="0" w:after="80" w:line="300" w:lineRule="auto"/>
        <w:numPr>
          <w:ilvl w:val="0"/>
          <w:numId w:val="10"/>
        </w:numPr>
      </w:pPr>
      <w:r>
        <w:rPr>
          <w:rFonts w:ascii="Calibri" w:hAnsi="Calibri" w:eastAsia="Calibri"/>
          <w:color w:val="1F2937"/>
          <w:sz w:val="22"/>
        </w:rPr>
        <w:t>Maximum automation, exact approval, stop, recovery, expiration, and uninstall</w:t>
      </w:r>
    </w:p>
    <w:p>
      <w:pPr>
        <w:pStyle w:val="Heading2"/>
        <w:keepNext/>
      </w:pPr>
      <w:r>
        <w:t>If sensitive information was entered</w:t>
      </w:r>
    </w:p>
    <w:p>
      <w:pPr>
        <w:keepNext/>
        <w:spacing w:before="0" w:after="80" w:line="300" w:lineRule="auto"/>
        <w:numPr>
          <w:ilvl w:val="0"/>
          <w:numId w:val="15"/>
        </w:numPr>
      </w:pPr>
      <w:r>
        <w:rPr>
          <w:rFonts w:ascii="Calibri" w:hAnsi="Calibri" w:eastAsia="Calibri"/>
          <w:color w:val="1F2937"/>
          <w:sz w:val="22"/>
        </w:rPr>
        <w:t>Stop the workflow and do not copy or spread the information.</w:t>
      </w:r>
    </w:p>
    <w:p>
      <w:pPr>
        <w:keepNext/>
        <w:spacing w:before="0" w:after="80" w:line="300" w:lineRule="auto"/>
        <w:numPr>
          <w:ilvl w:val="0"/>
          <w:numId w:val="15"/>
        </w:numPr>
      </w:pPr>
      <w:r>
        <w:rPr>
          <w:rFonts w:ascii="Calibri" w:hAnsi="Calibri" w:eastAsia="Calibri"/>
          <w:color w:val="1F2937"/>
          <w:sz w:val="22"/>
        </w:rPr>
        <w:t>Pause related memory, connectors, and automations.</w:t>
      </w:r>
    </w:p>
    <w:p>
      <w:pPr>
        <w:keepNext/>
        <w:spacing w:before="0" w:after="80" w:line="300" w:lineRule="auto"/>
        <w:numPr>
          <w:ilvl w:val="0"/>
          <w:numId w:val="15"/>
        </w:numPr>
      </w:pPr>
      <w:r>
        <w:rPr>
          <w:rFonts w:ascii="Calibri" w:hAnsi="Calibri" w:eastAsia="Calibri"/>
          <w:color w:val="1F2937"/>
          <w:sz w:val="22"/>
        </w:rPr>
        <w:t>Follow the authorized privacy, security, clinical, employer, or reporting process.</w:t>
      </w:r>
    </w:p>
    <w:p>
      <w:pPr>
        <w:keepNext/>
        <w:spacing w:before="0" w:after="80" w:line="300" w:lineRule="auto"/>
        <w:numPr>
          <w:ilvl w:val="0"/>
          <w:numId w:val="15"/>
        </w:numPr>
      </w:pPr>
      <w:r>
        <w:rPr>
          <w:rFonts w:ascii="Calibri" w:hAnsi="Calibri" w:eastAsia="Calibri"/>
          <w:color w:val="1F2937"/>
          <w:sz w:val="22"/>
        </w:rPr>
        <w:t>Do not assume deleting a chat resolves the event.</w:t>
      </w:r>
    </w:p>
    <w:p>
      <w:pPr>
        <w:spacing w:before="0" w:after="80" w:line="300" w:lineRule="auto"/>
        <w:numPr>
          <w:ilvl w:val="0"/>
          <w:numId w:val="15"/>
        </w:numPr>
      </w:pPr>
      <w:r>
        <w:rPr>
          <w:rFonts w:ascii="Calibri" w:hAnsi="Calibri" w:eastAsia="Calibri"/>
          <w:color w:val="1F2937"/>
          <w:sz w:val="22"/>
        </w:rPr>
        <w:t>Return the Wing to Manual or Preview only after authorized remediation and review.</w:t>
      </w:r>
    </w:p>
    <w:p>
      <w:r>
        <w:br w:type="page"/>
      </w:r>
    </w:p>
    <w:p>
      <w:pPr>
        <w:pStyle w:val="Heading1"/>
        <w:keepNext/>
      </w:pPr>
      <w:r>
        <w:t>Starter command library</w:t>
      </w:r>
    </w:p>
    <w:p>
      <w:pPr>
        <w:pStyle w:val="Heading2"/>
        <w:keepNext/>
      </w:pPr>
      <w:r>
        <w:t>Authority and mastery</w:t>
      </w:r>
    </w:p>
    <w:p>
      <w:pPr>
        <w:spacing w:before="0" w:after="80" w:line="300" w:lineRule="auto"/>
        <w:numPr>
          <w:ilvl w:val="0"/>
          <w:numId w:val="10"/>
        </w:numPr>
      </w:pPr>
      <w:r>
        <w:rPr>
          <w:rFonts w:ascii="Calibri" w:hAnsi="Calibri" w:eastAsia="Calibri"/>
          <w:color w:val="1F2937"/>
          <w:sz w:val="22"/>
        </w:rPr>
        <w:t>“Run the seven-gate Practice Boundary Check on this generic professional question. Tell me what must be verified and by whom.”</w:t>
      </w:r>
    </w:p>
    <w:p>
      <w:pPr>
        <w:spacing w:before="0" w:after="80" w:line="300" w:lineRule="auto"/>
        <w:numPr>
          <w:ilvl w:val="0"/>
          <w:numId w:val="10"/>
        </w:numPr>
      </w:pPr>
      <w:r>
        <w:rPr>
          <w:rFonts w:ascii="Calibri" w:hAnsi="Calibri" w:eastAsia="Calibri"/>
          <w:color w:val="1F2937"/>
          <w:sz w:val="22"/>
        </w:rPr>
        <w:t>“Turn this public professional question into an evidence-to-practice brief with current primary sources, conflict, limitations, and local questions.”</w:t>
      </w:r>
    </w:p>
    <w:p>
      <w:pPr>
        <w:spacing w:before="0" w:after="80" w:line="300" w:lineRule="auto"/>
        <w:numPr>
          <w:ilvl w:val="0"/>
          <w:numId w:val="10"/>
        </w:numPr>
      </w:pPr>
      <w:r>
        <w:rPr>
          <w:rFonts w:ascii="Calibri" w:hAnsi="Calibri" w:eastAsia="Calibri"/>
          <w:color w:val="1F2937"/>
          <w:sz w:val="22"/>
        </w:rPr>
        <w:t>“Create a clearly fictional reasoning simulation. Make me commit my reasoning before you respond and keep it educational.”</w:t>
      </w:r>
    </w:p>
    <w:p>
      <w:pPr>
        <w:pStyle w:val="Heading2"/>
        <w:keepNext/>
      </w:pPr>
      <w:r>
        <w:t>Influence, role, and career</w:t>
      </w:r>
    </w:p>
    <w:p>
      <w:pPr>
        <w:spacing w:before="0" w:after="80" w:line="300" w:lineRule="auto"/>
        <w:numPr>
          <w:ilvl w:val="0"/>
          <w:numId w:val="10"/>
        </w:numPr>
      </w:pPr>
      <w:r>
        <w:rPr>
          <w:rFonts w:ascii="Calibri" w:hAnsi="Calibri" w:eastAsia="Calibri"/>
          <w:color w:val="1F2937"/>
          <w:sz w:val="22"/>
        </w:rPr>
        <w:t>“Prepare this difficult professional conversation. Separate facts, interpretation, unknowns, needs, and questions. Keep it private and unsent.”</w:t>
      </w:r>
    </w:p>
    <w:p>
      <w:pPr>
        <w:spacing w:before="0" w:after="80" w:line="300" w:lineRule="auto"/>
        <w:numPr>
          <w:ilvl w:val="0"/>
          <w:numId w:val="10"/>
        </w:numPr>
      </w:pPr>
      <w:r>
        <w:rPr>
          <w:rFonts w:ascii="Calibri" w:hAnsi="Calibri" w:eastAsia="Calibri"/>
          <w:color w:val="1F2937"/>
          <w:sz w:val="22"/>
        </w:rPr>
        <w:t>“Build a leadership brief with stakeholders, decision rights, objections, shared credit, and one reversible next step.”</w:t>
      </w:r>
    </w:p>
    <w:p>
      <w:pPr>
        <w:spacing w:before="0" w:after="80" w:line="300" w:lineRule="auto"/>
        <w:numPr>
          <w:ilvl w:val="0"/>
          <w:numId w:val="10"/>
        </w:numPr>
      </w:pPr>
      <w:r>
        <w:rPr>
          <w:rFonts w:ascii="Calibri" w:hAnsi="Calibri" w:eastAsia="Calibri"/>
          <w:color w:val="1F2937"/>
          <w:sz w:val="22"/>
        </w:rPr>
        <w:t>“Map the role I actually carry and prepare a workload, role-value, or compensation conversation. Separate facts from assumptions.”</w:t>
      </w:r>
    </w:p>
    <w:p>
      <w:pPr>
        <w:spacing w:before="0" w:after="80" w:line="300" w:lineRule="auto"/>
        <w:numPr>
          <w:ilvl w:val="0"/>
          <w:numId w:val="10"/>
        </w:numPr>
      </w:pPr>
      <w:r>
        <w:rPr>
          <w:rFonts w:ascii="Calibri" w:hAnsi="Calibri" w:eastAsia="Calibri"/>
          <w:color w:val="1F2937"/>
          <w:sz w:val="22"/>
        </w:rPr>
        <w:t>“Open my next horizon. Build three possible futures from my verified portfolio, current capacity, and protected-life conditions.”</w:t>
      </w:r>
    </w:p>
    <w:p>
      <w:pPr>
        <w:pStyle w:val="Heading2"/>
        <w:keepNext/>
      </w:pPr>
      <w:r>
        <w:t>Scholarship, innovation, enterprise, and life</w:t>
      </w:r>
    </w:p>
    <w:p>
      <w:pPr>
        <w:spacing w:before="0" w:after="80" w:line="300" w:lineRule="auto"/>
        <w:numPr>
          <w:ilvl w:val="0"/>
          <w:numId w:val="10"/>
        </w:numPr>
      </w:pPr>
      <w:r>
        <w:rPr>
          <w:rFonts w:ascii="Calibri" w:hAnsi="Calibri" w:eastAsia="Calibri"/>
          <w:color w:val="1F2937"/>
          <w:sz w:val="22"/>
        </w:rPr>
        <w:t>“Turn this approved aggregate problem into a governed improvement concept with measures, classification questions, and stop conditions.”</w:t>
      </w:r>
    </w:p>
    <w:p>
      <w:pPr>
        <w:spacing w:before="0" w:after="80" w:line="300" w:lineRule="auto"/>
        <w:numPr>
          <w:ilvl w:val="0"/>
          <w:numId w:val="10"/>
        </w:numPr>
      </w:pPr>
      <w:r>
        <w:rPr>
          <w:rFonts w:ascii="Calibri" w:hAnsi="Calibri" w:eastAsia="Calibri"/>
          <w:color w:val="1F2937"/>
          <w:sz w:val="22"/>
        </w:rPr>
        <w:t>“Turn my expertise into a workshop or publication plan using synthetic examples and a verified evidence ledger.”</w:t>
      </w:r>
    </w:p>
    <w:p>
      <w:pPr>
        <w:spacing w:before="0" w:after="80" w:line="300" w:lineRule="auto"/>
        <w:numPr>
          <w:ilvl w:val="0"/>
          <w:numId w:val="10"/>
        </w:numPr>
      </w:pPr>
      <w:r>
        <w:rPr>
          <w:rFonts w:ascii="Calibri" w:hAnsi="Calibri" w:eastAsia="Calibri"/>
          <w:color w:val="1F2937"/>
          <w:sz w:val="22"/>
        </w:rPr>
        <w:t>“Create an evidence-aware public explainer in my voice. Distinguish personal, employer, and professional positions.”</w:t>
      </w:r>
    </w:p>
    <w:p>
      <w:pPr>
        <w:spacing w:before="0" w:after="80" w:line="300" w:lineRule="auto"/>
        <w:numPr>
          <w:ilvl w:val="0"/>
          <w:numId w:val="10"/>
        </w:numPr>
      </w:pPr>
      <w:r>
        <w:rPr>
          <w:rFonts w:ascii="Calibri" w:hAnsi="Calibri" w:eastAsia="Calibri"/>
          <w:color w:val="1F2937"/>
          <w:sz w:val="22"/>
        </w:rPr>
        <w:t>“Stress-test this practice, consultancy, education, or community idea. Map assumptions, advisers, conflicts, privacy, regulation, and the smallest ethical experiment.”</w:t>
      </w:r>
    </w:p>
    <w:p>
      <w:pPr>
        <w:spacing w:before="0" w:after="80" w:line="300" w:lineRule="auto"/>
        <w:numPr>
          <w:ilvl w:val="0"/>
          <w:numId w:val="10"/>
        </w:numPr>
      </w:pPr>
      <w:r>
        <w:rPr>
          <w:rFonts w:ascii="Calibri" w:hAnsi="Calibri" w:eastAsia="Calibri"/>
          <w:color w:val="1F2937"/>
          <w:sz w:val="22"/>
        </w:rPr>
        <w:t>“My capacity is Tight. Protect my runway with one essential professional action, one protected-life action, explicit deferrals, and a re-entry point.”</w:t>
      </w:r>
    </w:p>
    <w:p>
      <w:pPr>
        <w:spacing w:before="0" w:after="80" w:line="300" w:lineRule="auto"/>
        <w:numPr>
          <w:ilvl w:val="0"/>
          <w:numId w:val="10"/>
        </w:numPr>
      </w:pPr>
      <w:r>
        <w:rPr>
          <w:rFonts w:ascii="Calibri" w:hAnsi="Calibri" w:eastAsia="Calibri"/>
          <w:color w:val="1F2937"/>
          <w:sz w:val="22"/>
        </w:rPr>
        <w:t>“Build three possible futures if I reduce clinical hours or create a portfolio career. Keep financial content general and prepare adviser questions.”</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When in doubt: </w:t>
      </w:r>
      <w:r>
        <w:rPr>
          <w:rFonts w:ascii="Calibri" w:hAnsi="Calibri" w:eastAsia="Calibri"/>
          <w:color w:val="1F2937"/>
          <w:sz w:val="22"/>
        </w:rPr>
        <w:t>Say: ‘What kind of lift would be safest and most useful here? Give me one option, its boundary, its capacity cost, and the smallest reversible step.’</w:t>
      </w:r>
    </w:p>
    <w:p>
      <w:pPr>
        <w:pStyle w:val="Heading1"/>
        <w:keepNext/>
      </w:pPr>
      <w:r>
        <w:t>Frequently asked questions</w:t>
      </w:r>
    </w:p>
    <w:p>
      <w:pPr>
        <w:pStyle w:val="Heading2"/>
        <w:keepNext/>
      </w:pPr>
      <w:r>
        <w:t>Does NP Wings replace my NP AI OS?</w:t>
      </w:r>
    </w:p>
    <w:p>
      <w:pPr/>
      <w:r>
        <w:rPr>
          <w:rFonts w:ascii="Calibri" w:hAnsi="Calibri" w:eastAsia="Calibri"/>
          <w:i w:val="0"/>
          <w:color w:val="1F2937"/>
          <w:sz w:val="22"/>
        </w:rPr>
        <w:t>No. It is a post-setup overlay. The base program, dashboard, Core Four, records, safeguards, and acceptance tests remain authoritative.</w:t>
      </w:r>
    </w:p>
    <w:p>
      <w:pPr>
        <w:pStyle w:val="Heading2"/>
        <w:keepNext/>
      </w:pPr>
      <w:r>
        <w:t>Is this clinical decision support?</w:t>
      </w:r>
    </w:p>
    <w:p>
      <w:pPr/>
      <w:r>
        <w:rPr>
          <w:rFonts w:ascii="Calibri" w:hAnsi="Calibri" w:eastAsia="Calibri"/>
          <w:i w:val="0"/>
          <w:color w:val="1F2937"/>
          <w:sz w:val="22"/>
        </w:rPr>
        <w:t>No. It supports professional preparation, generic learning, fictional simulation, and aspiration workflows. Real-patient care remains outside the pack.</w:t>
      </w:r>
    </w:p>
    <w:p>
      <w:pPr>
        <w:pStyle w:val="Heading2"/>
        <w:keepNext/>
      </w:pPr>
      <w:r>
        <w:t>Does it know my legal scope?</w:t>
      </w:r>
    </w:p>
    <w:p>
      <w:pPr/>
      <w:r>
        <w:rPr>
          <w:rFonts w:ascii="Calibri" w:hAnsi="Calibri" w:eastAsia="Calibri"/>
          <w:i w:val="0"/>
          <w:color w:val="1F2937"/>
          <w:sz w:val="22"/>
        </w:rPr>
        <w:t>No. It maps the factors, current sources, unknowns, and responsible authorities. It never issues the final determination.</w:t>
      </w:r>
    </w:p>
    <w:p>
      <w:pPr>
        <w:pStyle w:val="Heading2"/>
        <w:keepNext/>
      </w:pPr>
      <w:r>
        <w:t>Can it track credentials?</w:t>
      </w:r>
    </w:p>
    <w:p>
      <w:pPr/>
      <w:r>
        <w:rPr>
          <w:rFonts w:ascii="Calibri" w:hAnsi="Calibri" w:eastAsia="Calibri"/>
          <w:i w:val="0"/>
          <w:color w:val="1F2937"/>
          <w:sz w:val="22"/>
        </w:rPr>
        <w:t>It can organize user-entered metadata, official links, evidence locations, questions, and reminders. Official portals and authorities determine status.</w:t>
      </w:r>
    </w:p>
    <w:p>
      <w:pPr>
        <w:pStyle w:val="Heading2"/>
        <w:keepNext/>
      </w:pPr>
      <w:r>
        <w:t>Can it help me negotiate?</w:t>
      </w:r>
    </w:p>
    <w:p>
      <w:pPr/>
      <w:r>
        <w:rPr>
          <w:rFonts w:ascii="Calibri" w:hAnsi="Calibri" w:eastAsia="Calibri"/>
          <w:i w:val="0"/>
          <w:color w:val="1F2937"/>
          <w:sz w:val="22"/>
        </w:rPr>
        <w:t>It can map role load, verified value, assumptions, questions, scripts, and adviser checkpoints. It does not provide legal advice or accept terms.</w:t>
      </w:r>
    </w:p>
    <w:p>
      <w:pPr>
        <w:pStyle w:val="Heading2"/>
        <w:keepNext/>
      </w:pPr>
      <w:r>
        <w:t>Can it help me open a practice or consultancy?</w:t>
      </w:r>
    </w:p>
    <w:p>
      <w:pPr/>
      <w:r>
        <w:rPr>
          <w:rFonts w:ascii="Calibri" w:hAnsi="Calibri" w:eastAsia="Calibri"/>
          <w:i w:val="0"/>
          <w:color w:val="1F2937"/>
          <w:sz w:val="22"/>
        </w:rPr>
        <w:t>It can prepare research, ethical listening, adviser questions, risks, and a small nonclinical experiment. It cannot determine legal eligibility or launch care.</w:t>
      </w:r>
    </w:p>
    <w:p>
      <w:pPr>
        <w:pStyle w:val="Heading2"/>
        <w:keepNext/>
      </w:pPr>
      <w:r>
        <w:t>What if I am too overwhelmed for another system?</w:t>
      </w:r>
    </w:p>
    <w:p>
      <w:pPr/>
      <w:r>
        <w:rPr>
          <w:rFonts w:ascii="Calibri" w:hAnsi="Calibri" w:eastAsia="Calibri"/>
          <w:i w:val="0"/>
          <w:color w:val="1F2937"/>
          <w:sz w:val="22"/>
        </w:rPr>
        <w:t>Use Recovery Mode. NP Wings will suppress new modules and return one essential professional action, one protected-life action, and a re-entry point.</w:t>
      </w:r>
    </w:p>
    <w:p>
      <w:pPr>
        <w:pStyle w:val="Heading2"/>
        <w:keepNext/>
      </w:pPr>
      <w:r>
        <w:t>Can I uninstall one Wing?</w:t>
      </w:r>
    </w:p>
    <w:p>
      <w:pPr/>
      <w:r>
        <w:rPr>
          <w:rFonts w:ascii="Calibri" w:hAnsi="Calibri" w:eastAsia="Calibri"/>
          <w:i w:val="0"/>
          <w:color w:val="1F2937"/>
          <w:sz w:val="22"/>
        </w:rPr>
        <w:t>Yes. Its launcher, permissions, pending runs, and optional records can be removed without damaging the base NP OS.</w:t>
      </w:r>
    </w:p>
    <w:p>
      <w:pPr>
        <w:pStyle w:val="Heading1"/>
        <w:keepNext/>
      </w:pPr>
      <w:r>
        <w:t>Troubleshooting</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900"/>
        <w:gridCol w:w="6460"/>
      </w:tblGrid>
      <w:tr>
        <w:trPr>
          <w:cantSplit/>
          <w:tblHeader w:val="true"/>
          <w:cantSplit/>
        </w:trPr>
        <w:tc>
          <w:tcPr>
            <w:tcW w:type="dxa" w:w="2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Problem</w:t>
            </w:r>
          </w:p>
        </w:tc>
        <w:tc>
          <w:tcPr>
            <w:tcW w:type="dxa" w:w="64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to do</w:t>
            </w:r>
          </w:p>
        </w:tc>
      </w:tr>
      <w:tr>
        <w:trPr>
          <w:cantSplit/>
        </w:trPr>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output sounds certain</w:t>
            </w:r>
          </w:p>
        </w:tc>
        <w:tc>
          <w:tcPr>
            <w:tcW w:type="dxa" w:w="6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 Ask for source, date, applicability, limitations, unknowns, and the responsible human gate.</w:t>
            </w:r>
          </w:p>
        </w:tc>
      </w:tr>
      <w:tr>
        <w:trPr>
          <w:cantSplit/>
        </w:trPr>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citation looks plausible</w:t>
            </w:r>
          </w:p>
        </w:tc>
        <w:tc>
          <w:tcPr>
            <w:tcW w:type="dxa" w:w="6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Open and verify it. Discard the result if the source is missing, irrelevant, or does not support the claim.</w:t>
            </w:r>
          </w:p>
        </w:tc>
      </w:tr>
      <w:tr>
        <w:trPr>
          <w:cantSplit/>
        </w:trPr>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dashboard feels crowded</w:t>
            </w:r>
          </w:p>
        </w:tc>
        <w:tc>
          <w:tcPr>
            <w:tcW w:type="dxa" w:w="6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Reset to the Core Four, hide the Wings Library, and keep only one aspiration.</w:t>
            </w:r>
          </w:p>
        </w:tc>
      </w:tr>
      <w:tr>
        <w:trPr>
          <w:cantSplit/>
        </w:trPr>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Wing creates more work</w:t>
            </w:r>
          </w:p>
        </w:tc>
        <w:tc>
          <w:tcPr>
            <w:tcW w:type="dxa" w:w="6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Pause or uninstall it. Value must exceed burden.</w:t>
            </w:r>
          </w:p>
        </w:tc>
      </w:tr>
      <w:tr>
        <w:trPr>
          <w:cantSplit/>
        </w:trPr>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 credential field looks active</w:t>
            </w:r>
          </w:p>
        </w:tc>
        <w:tc>
          <w:tcPr>
            <w:tcW w:type="dxa" w:w="6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Mark User-entered or Verification needed and check the official source.</w:t>
            </w:r>
          </w:p>
        </w:tc>
      </w:tr>
      <w:tr>
        <w:trPr>
          <w:cantSplit/>
        </w:trPr>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request may involve a real patient</w:t>
            </w:r>
          </w:p>
        </w:tc>
        <w:tc>
          <w:tcPr>
            <w:tcW w:type="dxa" w:w="6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 and use the approved clinical environment and responsible team.</w:t>
            </w:r>
          </w:p>
        </w:tc>
      </w:tr>
      <w:tr>
        <w:trPr>
          <w:cantSplit/>
        </w:trPr>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answer sounds legally or financially certain</w:t>
            </w:r>
          </w:p>
        </w:tc>
        <w:tc>
          <w:tcPr>
            <w:tcW w:type="dxa" w:w="6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Convert it into questions for the appropriate qualified professional.</w:t>
            </w:r>
          </w:p>
        </w:tc>
      </w:tr>
      <w:tr>
        <w:trPr>
          <w:cantSplit/>
        </w:trPr>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An automation or connector fails</w:t>
            </w:r>
          </w:p>
        </w:tc>
        <w:tc>
          <w:tcPr>
            <w:tcW w:type="dxa" w:w="6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Pause, inspect the receipt and destination, return to Manual or Preview, correct, and retest.</w:t>
            </w:r>
          </w:p>
        </w:tc>
      </w:tr>
    </w:tbl>
    <w:p>
      <w:pPr>
        <w:spacing w:before="0" w:after="40"/>
      </w:pPr>
    </w:p>
    <w:p>
      <w:pPr>
        <w:pStyle w:val="Heading1"/>
        <w:keepNext/>
      </w:pPr>
      <w:r>
        <w:t>Final clearance checklist</w:t>
      </w:r>
    </w:p>
    <w:p>
      <w:pPr>
        <w:pStyle w:val="Heading2"/>
        <w:keepNext/>
      </w:pPr>
      <w:r>
        <w:t>Before activation</w:t>
      </w:r>
    </w:p>
    <w:p>
      <w:pPr>
        <w:spacing w:before="0" w:after="80" w:line="300" w:lineRule="auto"/>
        <w:numPr>
          <w:ilvl w:val="0"/>
          <w:numId w:val="10"/>
        </w:numPr>
      </w:pPr>
      <w:r>
        <w:rPr>
          <w:rFonts w:ascii="Calibri" w:hAnsi="Calibri" w:eastAsia="Calibri"/>
          <w:color w:val="1F2937"/>
          <w:sz w:val="22"/>
        </w:rPr>
        <w:t>The base NP program is active and its safeguards passed.</w:t>
      </w:r>
    </w:p>
    <w:p>
      <w:pPr>
        <w:spacing w:before="0" w:after="80" w:line="300" w:lineRule="auto"/>
        <w:numPr>
          <w:ilvl w:val="0"/>
          <w:numId w:val="10"/>
        </w:numPr>
      </w:pPr>
      <w:r>
        <w:rPr>
          <w:rFonts w:ascii="Calibri" w:hAnsi="Calibri" w:eastAsia="Calibri"/>
          <w:color w:val="1F2937"/>
          <w:sz w:val="22"/>
        </w:rPr>
        <w:t>I accepted the NP Wings Compact.</w:t>
      </w:r>
    </w:p>
    <w:p>
      <w:pPr>
        <w:spacing w:before="0" w:after="80" w:line="300" w:lineRule="auto"/>
        <w:numPr>
          <w:ilvl w:val="0"/>
          <w:numId w:val="10"/>
        </w:numPr>
      </w:pPr>
      <w:r>
        <w:rPr>
          <w:rFonts w:ascii="Calibri" w:hAnsi="Calibri" w:eastAsia="Calibri"/>
          <w:color w:val="1F2937"/>
          <w:sz w:val="22"/>
        </w:rPr>
        <w:t>I selected one aspiration and one protected-life outcome.</w:t>
      </w:r>
    </w:p>
    <w:p>
      <w:pPr>
        <w:spacing w:before="0" w:after="80" w:line="300" w:lineRule="auto"/>
        <w:numPr>
          <w:ilvl w:val="0"/>
          <w:numId w:val="10"/>
        </w:numPr>
      </w:pPr>
      <w:r>
        <w:rPr>
          <w:rFonts w:ascii="Calibri" w:hAnsi="Calibri" w:eastAsia="Calibri"/>
          <w:color w:val="1F2937"/>
          <w:sz w:val="22"/>
        </w:rPr>
        <w:t>I excluded patient information, secrets, and unauthorized private material.</w:t>
      </w:r>
    </w:p>
    <w:p>
      <w:pPr>
        <w:spacing w:before="0" w:after="80" w:line="300" w:lineRule="auto"/>
        <w:numPr>
          <w:ilvl w:val="0"/>
          <w:numId w:val="10"/>
        </w:numPr>
      </w:pPr>
      <w:r>
        <w:rPr>
          <w:rFonts w:ascii="Calibri" w:hAnsi="Calibri" w:eastAsia="Calibri"/>
          <w:color w:val="1F2937"/>
          <w:sz w:val="22"/>
        </w:rPr>
        <w:t>Every professional field is labeled User-entered, Source-linked, Last verified, or Verification needed.</w:t>
      </w:r>
    </w:p>
    <w:p>
      <w:pPr>
        <w:spacing w:before="0" w:after="80" w:line="300" w:lineRule="auto"/>
        <w:numPr>
          <w:ilvl w:val="0"/>
          <w:numId w:val="10"/>
        </w:numPr>
      </w:pPr>
      <w:r>
        <w:rPr>
          <w:rFonts w:ascii="Calibri" w:hAnsi="Calibri" w:eastAsia="Calibri"/>
          <w:color w:val="1F2937"/>
          <w:sz w:val="22"/>
        </w:rPr>
        <w:t>Connections and external actions remain off.</w:t>
      </w:r>
    </w:p>
    <w:p>
      <w:pPr>
        <w:spacing w:before="0" w:after="80" w:line="300" w:lineRule="auto"/>
        <w:numPr>
          <w:ilvl w:val="0"/>
          <w:numId w:val="10"/>
        </w:numPr>
      </w:pPr>
      <w:r>
        <w:rPr>
          <w:rFonts w:ascii="Calibri" w:hAnsi="Calibri" w:eastAsia="Calibri"/>
          <w:color w:val="1F2937"/>
          <w:sz w:val="22"/>
        </w:rPr>
        <w:t>The Core Four remain and no more than one optional launcher is pinned.</w:t>
      </w:r>
    </w:p>
    <w:p>
      <w:pPr>
        <w:spacing w:before="0" w:after="80" w:line="300" w:lineRule="auto"/>
        <w:numPr>
          <w:ilvl w:val="0"/>
          <w:numId w:val="10"/>
        </w:numPr>
      </w:pPr>
      <w:r>
        <w:rPr>
          <w:rFonts w:ascii="Calibri" w:hAnsi="Calibri" w:eastAsia="Calibri"/>
          <w:color w:val="1F2937"/>
          <w:sz w:val="22"/>
        </w:rPr>
        <w:t>I can use Privacy &amp; Permissions, Review Sources, Activity History, Pause All, Reset, export, delete, and uninstall.</w:t>
      </w:r>
    </w:p>
    <w:p>
      <w:pPr>
        <w:pStyle w:val="Heading2"/>
        <w:keepNext/>
      </w:pPr>
      <w:r>
        <w:t>Before trusting a Wing</w:t>
      </w:r>
    </w:p>
    <w:p>
      <w:pPr>
        <w:spacing w:before="0" w:after="80" w:line="300" w:lineRule="auto"/>
        <w:numPr>
          <w:ilvl w:val="0"/>
          <w:numId w:val="10"/>
        </w:numPr>
      </w:pPr>
      <w:r>
        <w:rPr>
          <w:rFonts w:ascii="Calibri" w:hAnsi="Calibri" w:eastAsia="Calibri"/>
          <w:color w:val="1F2937"/>
          <w:sz w:val="22"/>
        </w:rPr>
        <w:t>I tested it with synthetic or low-sensitivity information.</w:t>
      </w:r>
    </w:p>
    <w:p>
      <w:pPr>
        <w:spacing w:before="0" w:after="80" w:line="300" w:lineRule="auto"/>
        <w:numPr>
          <w:ilvl w:val="0"/>
          <w:numId w:val="10"/>
        </w:numPr>
      </w:pPr>
      <w:r>
        <w:rPr>
          <w:rFonts w:ascii="Calibri" w:hAnsi="Calibri" w:eastAsia="Calibri"/>
          <w:color w:val="1F2937"/>
          <w:sz w:val="22"/>
        </w:rPr>
        <w:t>I reviewed three supervised runs before considering automation.</w:t>
      </w:r>
    </w:p>
    <w:p>
      <w:pPr>
        <w:spacing w:before="0" w:after="80" w:line="300" w:lineRule="auto"/>
        <w:numPr>
          <w:ilvl w:val="0"/>
          <w:numId w:val="10"/>
        </w:numPr>
      </w:pPr>
      <w:r>
        <w:rPr>
          <w:rFonts w:ascii="Calibri" w:hAnsi="Calibri" w:eastAsia="Calibri"/>
          <w:color w:val="1F2937"/>
          <w:sz w:val="22"/>
        </w:rPr>
        <w:t>I verified its sources, assumptions, data, permissions, destination, and human owner.</w:t>
      </w:r>
    </w:p>
    <w:p>
      <w:pPr>
        <w:spacing w:before="0" w:after="80" w:line="300" w:lineRule="auto"/>
        <w:numPr>
          <w:ilvl w:val="0"/>
          <w:numId w:val="10"/>
        </w:numPr>
      </w:pPr>
      <w:r>
        <w:rPr>
          <w:rFonts w:ascii="Calibri" w:hAnsi="Calibri" w:eastAsia="Calibri"/>
          <w:color w:val="1F2937"/>
          <w:sz w:val="22"/>
        </w:rPr>
        <w:t>I know its maximum automation, stop, recovery, expiration, and uninstall behavior.</w:t>
      </w:r>
    </w:p>
    <w:p>
      <w:pPr>
        <w:spacing w:before="0" w:after="80" w:line="300" w:lineRule="auto"/>
        <w:numPr>
          <w:ilvl w:val="0"/>
          <w:numId w:val="10"/>
        </w:numPr>
      </w:pPr>
      <w:r>
        <w:rPr>
          <w:rFonts w:ascii="Calibri" w:hAnsi="Calibri" w:eastAsia="Calibri"/>
          <w:color w:val="1F2937"/>
          <w:sz w:val="22"/>
        </w:rPr>
        <w:t>It strengthens rather than weakens my independent judgment.</w:t>
      </w:r>
    </w:p>
    <w:p>
      <w:pPr>
        <w:spacing w:before="0" w:after="80" w:line="300" w:lineRule="auto"/>
        <w:numPr>
          <w:ilvl w:val="0"/>
          <w:numId w:val="10"/>
        </w:numPr>
      </w:pPr>
      <w:r>
        <w:rPr>
          <w:rFonts w:ascii="Calibri" w:hAnsi="Calibri" w:eastAsia="Calibri"/>
          <w:color w:val="1F2937"/>
          <w:sz w:val="22"/>
        </w:rPr>
        <w:t>It creates more dependable value than burden.</w:t>
      </w:r>
    </w:p>
    <w:p>
      <w:pPr>
        <w:pStyle w:val="Heading2"/>
        <w:keepNext/>
      </w:pPr>
      <w:r>
        <w:t>Thirty-day lift review</w:t>
      </w:r>
    </w:p>
    <w:p>
      <w:pPr>
        <w:spacing w:before="0" w:after="80" w:line="300" w:lineRule="auto"/>
        <w:numPr>
          <w:ilvl w:val="0"/>
          <w:numId w:val="10"/>
        </w:numPr>
      </w:pPr>
      <w:r>
        <w:rPr>
          <w:rFonts w:ascii="Calibri" w:hAnsi="Calibri" w:eastAsia="Calibri"/>
          <w:color w:val="1F2937"/>
          <w:sz w:val="22"/>
        </w:rPr>
        <w:t>Time, attention, clarity, mastery, influence, opportunity, or freedom was returned.</w:t>
      </w:r>
    </w:p>
    <w:p>
      <w:pPr>
        <w:spacing w:before="0" w:after="80" w:line="300" w:lineRule="auto"/>
        <w:numPr>
          <w:ilvl w:val="0"/>
          <w:numId w:val="10"/>
        </w:numPr>
      </w:pPr>
      <w:r>
        <w:rPr>
          <w:rFonts w:ascii="Calibri" w:hAnsi="Calibri" w:eastAsia="Calibri"/>
          <w:color w:val="1F2937"/>
          <w:sz w:val="22"/>
        </w:rPr>
        <w:t>Official questions became clearer or were resolved by the proper authority.</w:t>
      </w:r>
    </w:p>
    <w:p>
      <w:pPr>
        <w:spacing w:before="0" w:after="80" w:line="300" w:lineRule="auto"/>
        <w:numPr>
          <w:ilvl w:val="0"/>
          <w:numId w:val="10"/>
        </w:numPr>
      </w:pPr>
      <w:r>
        <w:rPr>
          <w:rFonts w:ascii="Calibri" w:hAnsi="Calibri" w:eastAsia="Calibri"/>
          <w:color w:val="1F2937"/>
          <w:sz w:val="22"/>
        </w:rPr>
        <w:t>Verified evidence of contribution or learning accumulated.</w:t>
      </w:r>
    </w:p>
    <w:p>
      <w:pPr>
        <w:spacing w:before="0" w:after="80" w:line="300" w:lineRule="auto"/>
        <w:numPr>
          <w:ilvl w:val="0"/>
          <w:numId w:val="10"/>
        </w:numPr>
      </w:pPr>
      <w:r>
        <w:rPr>
          <w:rFonts w:ascii="Calibri" w:hAnsi="Calibri" w:eastAsia="Calibri"/>
          <w:color w:val="1F2937"/>
          <w:sz w:val="22"/>
        </w:rPr>
        <w:t>One chosen aspiration and one protected-life outcome advanced.</w:t>
      </w:r>
    </w:p>
    <w:p>
      <w:pPr>
        <w:spacing w:before="0" w:after="80" w:line="300" w:lineRule="auto"/>
        <w:numPr>
          <w:ilvl w:val="0"/>
          <w:numId w:val="10"/>
        </w:numPr>
      </w:pPr>
      <w:r>
        <w:rPr>
          <w:rFonts w:ascii="Calibri" w:hAnsi="Calibri" w:eastAsia="Calibri"/>
          <w:color w:val="1F2937"/>
          <w:sz w:val="22"/>
        </w:rPr>
        <w:t>No unauthorized external action, sensitive-data event, false status, or overclaim occurred.</w:t>
      </w:r>
    </w:p>
    <w:p>
      <w:pPr>
        <w:spacing w:before="0" w:after="80" w:line="300" w:lineRule="auto"/>
        <w:numPr>
          <w:ilvl w:val="0"/>
          <w:numId w:val="10"/>
        </w:numPr>
      </w:pPr>
      <w:r>
        <w:rPr>
          <w:rFonts w:ascii="Calibri" w:hAnsi="Calibri" w:eastAsia="Calibri"/>
          <w:color w:val="1F2937"/>
          <w:sz w:val="22"/>
        </w:rPr>
        <w:t>Low-value Wings were paused or removed, and I remain clearly in control.</w:t>
      </w:r>
    </w:p>
    <w:p>
      <w:pPr>
        <w:pStyle w:val="Heading1"/>
        <w:keepNext/>
      </w:pPr>
      <w:r>
        <w:t>Closing message</w:t>
      </w:r>
    </w:p>
    <w:p>
      <w:pPr>
        <w:spacing w:before="0" w:after="240" w:line="288" w:lineRule="auto"/>
      </w:pPr>
      <w:r>
        <w:rPr>
          <w:rFonts w:ascii="Calibri" w:hAnsi="Calibri" w:eastAsia="Calibri"/>
          <w:b/>
          <w:color w:val="123047"/>
          <w:sz w:val="26"/>
        </w:rPr>
        <w:t>Wings are not about moving faster. They are about gaining enough lift to see clearly, choose deliberately, and land safely.</w:t>
      </w:r>
    </w:p>
    <w:p>
      <w:pPr/>
      <w:r>
        <w:rPr>
          <w:rFonts w:ascii="Calibri" w:hAnsi="Calibri" w:eastAsia="Calibri"/>
          <w:i w:val="0"/>
          <w:color w:val="1F2937"/>
          <w:sz w:val="22"/>
        </w:rPr>
        <w:t>Your practice deserves support. Your expertise deserves to compound. Your aspirations deserve protected space. Your life deserves to remain part of the plan.</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Final operating principle: </w:t>
      </w:r>
      <w:r>
        <w:rPr>
          <w:rFonts w:ascii="Calibri" w:hAnsi="Calibri" w:eastAsia="Calibri"/>
          <w:color w:val="1F2937"/>
          <w:sz w:val="22"/>
        </w:rPr>
        <w:t>Greater lift must never come at the cost of judgment, truth, authority, privacy, relationships, or a life worth living.</w:t>
      </w:r>
    </w:p>
    <w:p>
      <w:pPr>
        <w:pStyle w:val="Heading1"/>
        <w:keepNext/>
      </w:pPr>
      <w:r>
        <w:t>Authoritative reference points</w:t>
      </w:r>
    </w:p>
    <w:p>
      <w:pPr>
        <w:spacing w:before="0" w:after="240" w:line="288" w:lineRule="auto"/>
      </w:pPr>
      <w:r>
        <w:rPr>
          <w:rFonts w:ascii="Calibri" w:hAnsi="Calibri" w:eastAsia="Calibri"/>
          <w:b/>
          <w:color w:val="123047"/>
          <w:sz w:val="26"/>
        </w:rPr>
        <w:t>These sources ground the pack's professional, ethical, privacy, risk, accessibility, and communication safeguards. They do not replace current jurisdictional, employer, credentialing, payer, legal, or other controlling sources.</w:t>
      </w:r>
    </w:p>
    <w:p>
      <w:pPr>
        <w:spacing w:before="0" w:after="80" w:line="300" w:lineRule="auto"/>
        <w:numPr>
          <w:ilvl w:val="0"/>
          <w:numId w:val="10"/>
        </w:numPr>
      </w:pPr>
      <w:r>
        <w:rPr>
          <w:rFonts w:ascii="Calibri" w:hAnsi="Calibri" w:eastAsia="Calibri"/>
          <w:color w:val="1F2937"/>
          <w:sz w:val="22"/>
        </w:rPr>
        <w:t>AANP — Scope of Practice for Nurse Practitioners: https://www.aanp.org/advocacy/advocacy-resource/position-statements/scope-of-practice-for-nurse-practitioners</w:t>
      </w:r>
    </w:p>
    <w:p>
      <w:pPr>
        <w:spacing w:before="0" w:after="80" w:line="300" w:lineRule="auto"/>
        <w:numPr>
          <w:ilvl w:val="0"/>
          <w:numId w:val="10"/>
        </w:numPr>
      </w:pPr>
      <w:r>
        <w:rPr>
          <w:rFonts w:ascii="Calibri" w:hAnsi="Calibri" w:eastAsia="Calibri"/>
          <w:color w:val="1F2937"/>
          <w:sz w:val="22"/>
        </w:rPr>
        <w:t>NCSBN — APRN Consensus Model: https://www.ncsbn.org/public-files/Consensus_Model_for_APRN_Regulation_July_2008.pdf</w:t>
      </w:r>
    </w:p>
    <w:p>
      <w:pPr>
        <w:spacing w:before="0" w:after="80" w:line="300" w:lineRule="auto"/>
        <w:numPr>
          <w:ilvl w:val="0"/>
          <w:numId w:val="10"/>
        </w:numPr>
      </w:pPr>
      <w:r>
        <w:rPr>
          <w:rFonts w:ascii="Calibri" w:hAnsi="Calibri" w:eastAsia="Calibri"/>
          <w:color w:val="1F2937"/>
          <w:sz w:val="22"/>
        </w:rPr>
        <w:t>American Nurses Association — 2025 Code of Ethics for Nurses: https://codeofethics.ana.org/</w:t>
      </w:r>
    </w:p>
    <w:p>
      <w:pPr>
        <w:spacing w:before="0" w:after="80" w:line="300" w:lineRule="auto"/>
        <w:numPr>
          <w:ilvl w:val="0"/>
          <w:numId w:val="10"/>
        </w:numPr>
      </w:pPr>
      <w:r>
        <w:rPr>
          <w:rFonts w:ascii="Calibri" w:hAnsi="Calibri" w:eastAsia="Calibri"/>
          <w:color w:val="1F2937"/>
          <w:sz w:val="22"/>
        </w:rPr>
        <w:t>AACN — The Essentials: https://www.aacnnursing.org/essentials</w:t>
      </w:r>
    </w:p>
    <w:p>
      <w:pPr>
        <w:spacing w:before="0" w:after="80" w:line="300" w:lineRule="auto"/>
        <w:numPr>
          <w:ilvl w:val="0"/>
          <w:numId w:val="10"/>
        </w:numPr>
      </w:pPr>
      <w:r>
        <w:rPr>
          <w:rFonts w:ascii="Calibri" w:hAnsi="Calibri" w:eastAsia="Calibri"/>
          <w:color w:val="1F2937"/>
          <w:sz w:val="22"/>
        </w:rPr>
        <w:t>HHS — HIPAA De-identification Guidance: https://www.hhs.gov/hipaa/for-professionals/special-topics/de-identification/index.html</w:t>
      </w:r>
    </w:p>
    <w:p>
      <w:pPr>
        <w:spacing w:before="0" w:after="80" w:line="300" w:lineRule="auto"/>
        <w:numPr>
          <w:ilvl w:val="0"/>
          <w:numId w:val="10"/>
        </w:numPr>
      </w:pPr>
      <w:r>
        <w:rPr>
          <w:rFonts w:ascii="Calibri" w:hAnsi="Calibri" w:eastAsia="Calibri"/>
          <w:color w:val="1F2937"/>
          <w:sz w:val="22"/>
        </w:rPr>
        <w:t>NIST — AI Risk Management Framework: https://www.nist.gov/itl/ai-risk-management-framework</w:t>
      </w:r>
    </w:p>
    <w:p>
      <w:pPr>
        <w:spacing w:before="0" w:after="80" w:line="300" w:lineRule="auto"/>
        <w:numPr>
          <w:ilvl w:val="0"/>
          <w:numId w:val="10"/>
        </w:numPr>
      </w:pPr>
      <w:r>
        <w:rPr>
          <w:rFonts w:ascii="Calibri" w:hAnsi="Calibri" w:eastAsia="Calibri"/>
          <w:color w:val="1F2937"/>
          <w:sz w:val="22"/>
        </w:rPr>
        <w:t>W3C — Web Content Accessibility Guidelines 2.2: https://www.w3.org/TR/WCAG22/</w:t>
      </w:r>
    </w:p>
    <w:p>
      <w:pPr>
        <w:spacing w:before="0" w:after="80" w:line="300" w:lineRule="auto"/>
        <w:numPr>
          <w:ilvl w:val="0"/>
          <w:numId w:val="10"/>
        </w:numPr>
      </w:pPr>
      <w:r>
        <w:rPr>
          <w:rFonts w:ascii="Calibri" w:hAnsi="Calibri" w:eastAsia="Calibri"/>
          <w:color w:val="1F2937"/>
          <w:sz w:val="22"/>
        </w:rPr>
        <w:t>Digital.gov — Plain Language Guide: https://digital.gov/guides/plain-language</w:t>
      </w:r>
    </w:p>
    <w:p>
      <w:pPr>
        <w:pStyle w:val="Heading2"/>
        <w:keepNext/>
      </w:pPr>
      <w:r>
        <w:t>Keep the pack current</w:t>
      </w:r>
    </w:p>
    <w:p>
      <w:pPr>
        <w:spacing w:before="0" w:after="80" w:line="300" w:lineRule="auto"/>
        <w:numPr>
          <w:ilvl w:val="0"/>
          <w:numId w:val="10"/>
        </w:numPr>
      </w:pPr>
      <w:r>
        <w:rPr>
          <w:rFonts w:ascii="Calibri" w:hAnsi="Calibri" w:eastAsia="Calibri"/>
          <w:color w:val="1F2937"/>
          <w:sz w:val="22"/>
        </w:rPr>
        <w:t>Review official professional and organizational requirements at activation and at least quarterly.</w:t>
      </w:r>
    </w:p>
    <w:p>
      <w:pPr>
        <w:spacing w:before="0" w:after="80" w:line="300" w:lineRule="auto"/>
        <w:numPr>
          <w:ilvl w:val="0"/>
          <w:numId w:val="10"/>
        </w:numPr>
      </w:pPr>
      <w:r>
        <w:rPr>
          <w:rFonts w:ascii="Calibri" w:hAnsi="Calibri" w:eastAsia="Calibri"/>
          <w:color w:val="1F2937"/>
          <w:sz w:val="22"/>
        </w:rPr>
        <w:t>Refresh evidence when a source changes, a review date arrives, or context materially changes.</w:t>
      </w:r>
    </w:p>
    <w:p>
      <w:pPr>
        <w:spacing w:before="0" w:after="80" w:line="300" w:lineRule="auto"/>
        <w:numPr>
          <w:ilvl w:val="0"/>
          <w:numId w:val="10"/>
        </w:numPr>
      </w:pPr>
      <w:r>
        <w:rPr>
          <w:rFonts w:ascii="Calibri" w:hAnsi="Calibri" w:eastAsia="Calibri"/>
          <w:color w:val="1F2937"/>
          <w:sz w:val="22"/>
        </w:rPr>
        <w:t>Rerun the Practice Boundary Check after any relevant jurisdiction, role, setting, privilege, employer, payer, program, or context change.</w:t>
      </w:r>
    </w:p>
    <w:p>
      <w:pPr>
        <w:spacing w:before="0" w:after="80" w:line="300" w:lineRule="auto"/>
        <w:numPr>
          <w:ilvl w:val="0"/>
          <w:numId w:val="10"/>
        </w:numPr>
      </w:pPr>
      <w:r>
        <w:rPr>
          <w:rFonts w:ascii="Calibri" w:hAnsi="Calibri" w:eastAsia="Calibri"/>
          <w:color w:val="1F2937"/>
          <w:sz w:val="22"/>
        </w:rPr>
        <w:t>Retire any Wing whose burden, risk, false confidence, or loss of independent judgment exceeds its dependable value.</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6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Document control</w:t>
            </w:r>
          </w:p>
        </w:tc>
        <w:tc>
          <w:tcPr>
            <w:tcW w:type="dxa" w:w="6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Value</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Release</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Version 1.0 • July 2026</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Program</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NAIO-NP-WINGS-1.0</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Requires</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NAIO-NP-LPPEF-1.0 or verified compatible version</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Designed for</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Nurse practitioners across population foci, settings, career stages, and life seasons</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Operating environment</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Personal no-PHI or formally approved workspace</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owner</w:t>
            </w:r>
          </w:p>
        </w:tc>
        <w:tc>
          <w:tcPr>
            <w:tcW w:type="dxa" w:w="6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The nurse practitioner</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Default review</w:t>
            </w:r>
          </w:p>
        </w:tc>
        <w:tc>
          <w:tcPr>
            <w:tcW w:type="dxa" w:w="6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Seven days, thirty days, then quarterly</w:t>
            </w:r>
          </w:p>
        </w:tc>
      </w:tr>
    </w:tbl>
    <w:p>
      <w:pPr>
        <w:spacing w:before="0" w:after="40"/>
      </w:pP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Calibri" w:hAnsi="Calibri" w:eastAsia="Calibri"/>
        <w:color w:val="5F6B76"/>
        <w:sz w:val="18"/>
      </w:rPr>
      <w:t xml:space="preserve">Page </w:t>
    </w: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HERMES–NURSE AI OS  |  NP WINGS SUPERPOWERS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abstractNum w:abstractNumId="13">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4">
    <w:abstractNumId w:val="13"/>
  </w:num>
  <w:abstractNum w:abstractNumId="14">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 Id="rId13" Type="http://schemas.openxmlformats.org/officeDocument/2006/relationships/image" Target="media/image3.pn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