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1120" w:after="320"/>
        <w:jc w:val="center"/>
      </w:pPr>
      <w:r>
        <w:rPr>
          <w:rFonts w:ascii="Calibri" w:hAnsi="Calibri" w:eastAsia="Calibri"/>
          <w:b/>
          <w:color w:val="0B7A75"/>
          <w:sz w:val="22"/>
        </w:rPr>
        <w:t>NURSE PRACTITIONER GUIDE</w:t>
      </w:r>
    </w:p>
    <w:p>
      <w:pPr>
        <w:pStyle w:val="GuideTitle"/>
      </w:pPr>
      <w:r>
        <w:t>Hermes–Nurse AI OS</w:t>
      </w:r>
    </w:p>
    <w:p>
      <w:pPr>
        <w:spacing w:after="200"/>
        <w:jc w:val="center"/>
      </w:pPr>
      <w:r>
        <w:rPr>
          <w:rFonts w:ascii="Calibri" w:hAnsi="Calibri" w:eastAsia="Calibri"/>
          <w:b/>
          <w:color w:val="2E74B5"/>
          <w:sz w:val="37"/>
        </w:rPr>
        <w:t>Nurse Practitioner Life, Practice &amp; Purpose</w:t>
        <w:br/>
        <w:t>Empowerment Function</w:t>
      </w:r>
    </w:p>
    <w:p>
      <w:pPr>
        <w:spacing w:after="560"/>
        <w:jc w:val="center"/>
      </w:pPr>
      <w:r>
        <w:rPr>
          <w:rFonts w:ascii="Calibri" w:hAnsi="Calibri" w:eastAsia="Calibri"/>
          <w:color w:val="5F6B76"/>
          <w:sz w:val="26"/>
        </w:rPr>
        <w:t>Your Practice. Your Life. Your Judgment.</w:t>
        <w:br/>
        <w:t>A guide to professional readiness, evidence, career, leadership, enterprise, recovery, relationships, and meaningful goals</w:t>
      </w:r>
    </w:p>
    <w:p>
      <w:pPr>
        <w:spacing w:before="120" w:after="200" w:line="276" w:lineRule="auto"/>
        <w:shd w:fill="E8F5F3"/>
        <w:pBdr>
          <w:left w:val="single" w:sz="18" w:space="8" w:color="0B7A75"/>
        </w:pBdr>
        <w:ind w:left="180" w:right="120"/>
      </w:pPr>
      <w:r>
        <w:rPr>
          <w:rFonts w:ascii="Calibri" w:hAnsi="Calibri" w:eastAsia="Calibri"/>
          <w:b/>
          <w:color w:val="123047"/>
          <w:sz w:val="22"/>
        </w:rPr>
        <w:t xml:space="preserve">Core promise: </w:t>
      </w:r>
      <w:r>
        <w:rPr>
          <w:rFonts w:ascii="Calibri" w:hAnsi="Calibri" w:eastAsia="Calibri"/>
          <w:color w:val="1F2937"/>
          <w:sz w:val="22"/>
        </w:rPr>
        <w:t>Hermes helps carry information, structure, and repetition. It does not carry your license, clinical accountability, relationships, moral agency, or purpose. You remain the clinician, decision-maker, and owner.</w:t>
      </w:r>
    </w:p>
    <w:p>
      <w:pPr>
        <w:spacing w:before="720" w:after="120"/>
        <w:jc w:val="center"/>
      </w:pPr>
      <w:r>
        <w:rPr>
          <w:rFonts w:ascii="Calibri" w:hAnsi="Calibri" w:eastAsia="Calibri"/>
          <w:b/>
          <w:color w:val="5F6B76"/>
          <w:sz w:val="21"/>
        </w:rPr>
        <w:t>For nurse practitioners across population foci, settings, career stages, and life seasons</w:t>
      </w:r>
    </w:p>
    <w:p>
      <w:pPr>
        <w:jc w:val="center"/>
      </w:pPr>
      <w:r>
        <w:rPr>
          <w:rFonts w:ascii="Calibri" w:hAnsi="Calibri" w:eastAsia="Calibri"/>
          <w:color w:val="5F6B76"/>
          <w:sz w:val="20"/>
        </w:rPr>
        <w:t>Version 1.0  •  July 2026</w:t>
      </w:r>
    </w:p>
    <w:p>
      <w:r>
        <w:br w:type="page"/>
      </w:r>
    </w:p>
    <w:p>
      <w:pPr>
        <w:pStyle w:val="Heading1"/>
        <w:keepNext/>
      </w:pPr>
      <w:r>
        <w:t>Welcome: you are more than a clinician with a crowded inbox</w:t>
      </w:r>
    </w:p>
    <w:p>
      <w:pPr>
        <w:spacing w:before="0" w:after="240" w:line="288" w:lineRule="auto"/>
      </w:pPr>
      <w:r>
        <w:rPr>
          <w:rFonts w:ascii="Calibri" w:hAnsi="Calibri" w:eastAsia="Calibri"/>
          <w:b/>
          <w:color w:val="123047"/>
          <w:sz w:val="26"/>
        </w:rPr>
        <w:t>You may be a diagnostician, prescriber, educator, advocate, preceptor, leader, researcher, parent, caregiver, partner, entrepreneur, and community builder. Each role asks for attention. Most systems help with only one piece of your life.</w:t>
      </w:r>
    </w:p>
    <w:p>
      <w:pPr/>
      <w:r>
        <w:rPr>
          <w:rFonts w:ascii="Calibri" w:hAnsi="Calibri" w:eastAsia="Calibri"/>
          <w:i w:val="0"/>
          <w:color w:val="1F2937"/>
          <w:sz w:val="22"/>
        </w:rPr>
        <w:t>The Nurse Practitioner Life, Practice &amp; Purpose Empowerment Function gives Hermes a different assignment: help protect your judgment, recover your attention, and advance the professional and personal goals you choose. It creates one private command center around the person doing the work—without turning that space into an unofficial patient record or artificial prescriber.</w:t>
      </w:r>
    </w:p>
    <w:p>
      <w:pPr/>
      <w:r>
        <w:rPr>
          <w:rFonts w:ascii="Calibri" w:hAnsi="Calibri" w:eastAsia="Calibri"/>
          <w:i w:val="0"/>
          <w:color w:val="1F2937"/>
          <w:sz w:val="22"/>
        </w:rPr>
        <w:t>Hermes may organize, research, compare, draft, rehearse, plan, reflect, and prepare. It does not inherit your license, know the patient, replace the health record, certify your authority, or accept responsibility for a decision.</w:t>
      </w:r>
    </w:p>
    <w:p>
      <w:pPr>
        <w:spacing w:before="120" w:after="200" w:line="276" w:lineRule="auto"/>
        <w:shd w:fill="FFF4D6"/>
        <w:pBdr>
          <w:left w:val="single" w:sz="18" w:space="8" w:color="B78316"/>
        </w:pBdr>
        <w:ind w:left="180" w:right="120"/>
      </w:pPr>
      <w:r>
        <w:rPr>
          <w:rFonts w:ascii="Calibri" w:hAnsi="Calibri" w:eastAsia="Calibri"/>
          <w:b/>
          <w:color w:val="123047"/>
          <w:sz w:val="22"/>
        </w:rPr>
        <w:t xml:space="preserve">The promise: </w:t>
      </w:r>
      <w:r>
        <w:rPr>
          <w:rFonts w:ascii="Calibri" w:hAnsi="Calibri" w:eastAsia="Calibri"/>
          <w:color w:val="1F2937"/>
          <w:sz w:val="22"/>
        </w:rPr>
        <w:t>The system should make you more capable, clear, and in control—not make AI more powerful over you.</w:t>
      </w:r>
    </w:p>
    <w:p>
      <w:pPr>
        <w:pStyle w:val="Heading1"/>
        <w:keepNext/>
      </w:pPr>
      <w:r>
        <w:t>What changes when the system works for the whole person?</w:t>
      </w:r>
    </w:p>
    <w:tbl>
      <w:tblPr>
        <w:tblW w:type="dxa" w:w="9360"/>
        <w:tblLayout w:type="fixed"/>
        <w:tblLook w:firstColumn="1" w:firstRow="1" w:lastColumn="0" w:lastRow="0" w:noHBand="0" w:noVBand="1" w:val="04A0"/>
        <w:jc w:val="left"/>
        <w:tblInd w:w="120" w:type="dxa"/>
        <w:tblBorders>
          <w:top w:val="single" w:sz="6" w:space="0" w:color="C9D3DD"/>
          <w:left w:val="single" w:sz="6" w:space="0" w:color="C9D3DD"/>
          <w:bottom w:val="single" w:sz="6" w:space="0" w:color="C9D3DD"/>
          <w:right w:val="single" w:sz="6" w:space="0" w:color="C9D3DD"/>
          <w:insideH w:val="single" w:sz="6" w:space="0" w:color="C9D3DD"/>
          <w:insideV w:val="single" w:sz="6" w:space="0" w:color="C9D3DD"/>
        </w:tblBorders>
      </w:tblPr>
      <w:tblGrid>
        <w:gridCol w:w="2100"/>
        <w:gridCol w:w="7260"/>
      </w:tblGrid>
      <w:tr>
        <w:trPr>
          <w:cantSplit/>
          <w:tblHeader w:val="true"/>
          <w:cantSplit/>
        </w:trPr>
        <w:tc>
          <w:tcPr>
            <w:tcW w:type="dxa" w:w="2100"/>
            <w:tcMar>
              <w:top w:w="80" w:type="dxa"/>
              <w:start w:w="120" w:type="dxa"/>
              <w:bottom w:w="80" w:type="dxa"/>
              <w:end w:w="120" w:type="dxa"/>
            </w:tcMar>
            <w:vAlign w:val="center"/>
            <w:shd w:fill="E8EEF5" w:val="clear"/>
          </w:tcPr>
          <w:p>
            <w:pPr>
              <w:spacing w:before="0" w:after="0" w:line="252" w:lineRule="auto"/>
              <w:jc w:val="left"/>
            </w:pPr>
            <w:r/>
            <w:r>
              <w:rPr>
                <w:rFonts w:ascii="Calibri" w:hAnsi="Calibri" w:eastAsia="Calibri"/>
                <w:b/>
                <w:color w:val="123047"/>
                <w:sz w:val="18"/>
              </w:rPr>
              <w:t>Benefit</w:t>
            </w:r>
          </w:p>
        </w:tc>
        <w:tc>
          <w:tcPr>
            <w:tcW w:type="dxa" w:w="7260"/>
            <w:tcMar>
              <w:top w:w="80" w:type="dxa"/>
              <w:start w:w="120" w:type="dxa"/>
              <w:bottom w:w="80" w:type="dxa"/>
              <w:end w:w="120" w:type="dxa"/>
            </w:tcMar>
            <w:vAlign w:val="center"/>
            <w:shd w:fill="E8EEF5" w:val="clear"/>
          </w:tcPr>
          <w:p>
            <w:pPr>
              <w:spacing w:before="0" w:after="0" w:line="252" w:lineRule="auto"/>
              <w:jc w:val="left"/>
            </w:pPr>
            <w:r/>
            <w:r>
              <w:rPr>
                <w:rFonts w:ascii="Calibri" w:hAnsi="Calibri" w:eastAsia="Calibri"/>
                <w:b/>
                <w:color w:val="123047"/>
                <w:sz w:val="18"/>
              </w:rPr>
              <w:t>What it can look like</w:t>
            </w:r>
          </w:p>
        </w:tc>
      </w:tr>
      <w:tr>
        <w:trPr>
          <w:cantSplit/>
        </w:trPr>
        <w:tc>
          <w:tcPr>
            <w:tcW w:type="dxa" w:w="210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Cognitive space</w:t>
            </w:r>
          </w:p>
        </w:tc>
        <w:tc>
          <w:tcPr>
            <w:tcW w:type="dxa" w:w="726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Routine sorting, deadlines, and project follow-through move out of working memory.</w:t>
            </w:r>
          </w:p>
        </w:tc>
      </w:tr>
      <w:tr>
        <w:trPr>
          <w:cantSplit/>
        </w:trPr>
        <w:tc>
          <w:tcPr>
            <w:tcW w:type="dxa" w:w="210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Professional readiness</w:t>
            </w:r>
          </w:p>
        </w:tc>
        <w:tc>
          <w:tcPr>
            <w:tcW w:type="dxa" w:w="726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Licenses, certification, privileges, CE, evidence, and verification questions become visible without false status claims.</w:t>
            </w:r>
          </w:p>
        </w:tc>
      </w:tr>
      <w:tr>
        <w:trPr>
          <w:cantSplit/>
        </w:trPr>
        <w:tc>
          <w:tcPr>
            <w:tcW w:type="dxa" w:w="210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Better evidence habits</w:t>
            </w:r>
          </w:p>
        </w:tc>
        <w:tc>
          <w:tcPr>
            <w:tcW w:type="dxa" w:w="726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Sources, dates, limitations, disagreement, and local verification appear with the answer.</w:t>
            </w:r>
          </w:p>
        </w:tc>
      </w:tr>
      <w:tr>
        <w:trPr>
          <w:cantSplit/>
        </w:trPr>
        <w:tc>
          <w:tcPr>
            <w:tcW w:type="dxa" w:w="210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Clearer communication</w:t>
            </w:r>
          </w:p>
        </w:tc>
        <w:tc>
          <w:tcPr>
            <w:tcW w:type="dxa" w:w="726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Consultations, negotiations, teaching, leadership, and difficult conversations are prepared in your voice.</w:t>
            </w:r>
          </w:p>
        </w:tc>
      </w:tr>
      <w:tr>
        <w:trPr>
          <w:cantSplit/>
        </w:trPr>
        <w:tc>
          <w:tcPr>
            <w:tcW w:type="dxa" w:w="210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Career agency</w:t>
            </w:r>
          </w:p>
        </w:tc>
        <w:tc>
          <w:tcPr>
            <w:tcW w:type="dxa" w:w="726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A truthful portfolio, learning path, transition plan, leadership case, or venture experiment becomes actionable.</w:t>
            </w:r>
          </w:p>
        </w:tc>
      </w:tr>
      <w:tr>
        <w:trPr>
          <w:cantSplit/>
        </w:trPr>
        <w:tc>
          <w:tcPr>
            <w:tcW w:type="dxa" w:w="210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Protected life</w:t>
            </w:r>
          </w:p>
        </w:tc>
        <w:tc>
          <w:tcPr>
            <w:tcW w:type="dxa" w:w="726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Recovery, family, health, finances, creativity, community, and unoptimized time share the planning horizon.</w:t>
            </w:r>
          </w:p>
        </w:tc>
      </w:tr>
      <w:tr>
        <w:trPr>
          <w:cantSplit/>
        </w:trPr>
        <w:tc>
          <w:tcPr>
            <w:tcW w:type="dxa" w:w="210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Safer automation</w:t>
            </w:r>
          </w:p>
        </w:tc>
        <w:tc>
          <w:tcPr>
            <w:tcW w:type="dxa" w:w="726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Low-risk workflows begin in Preview, require approval, produce receipts, and can be paused or removed.</w:t>
            </w:r>
          </w:p>
        </w:tc>
      </w:tr>
    </w:tbl>
    <w:p>
      <w:pPr>
        <w:spacing w:before="0" w:after="40"/>
      </w:pPr>
    </w:p>
    <w:p>
      <w:pPr>
        <w:spacing w:before="120" w:after="200" w:line="276" w:lineRule="auto"/>
        <w:shd w:fill="F8E8E7"/>
        <w:pBdr>
          <w:left w:val="single" w:sz="18" w:space="8" w:color="B95756"/>
        </w:pBdr>
        <w:ind w:left="180" w:right="120"/>
      </w:pPr>
      <w:r>
        <w:rPr>
          <w:rFonts w:ascii="Calibri" w:hAnsi="Calibri" w:eastAsia="Calibri"/>
          <w:b/>
          <w:color w:val="123047"/>
          <w:sz w:val="22"/>
        </w:rPr>
        <w:t xml:space="preserve">The goal: </w:t>
      </w:r>
      <w:r>
        <w:rPr>
          <w:rFonts w:ascii="Calibri" w:hAnsi="Calibri" w:eastAsia="Calibri"/>
          <w:color w:val="1F2937"/>
          <w:sz w:val="22"/>
        </w:rPr>
        <w:t>Do not fit more work into every hour. Return attention to the work, people, and life only you can serve.</w:t>
      </w:r>
    </w:p>
    <w:p>
      <w:pPr>
        <w:pStyle w:val="Heading1"/>
        <w:keepNext/>
      </w:pPr>
      <w:r>
        <w:t>The NP Power Contract</w:t>
      </w:r>
    </w:p>
    <w:p>
      <w:pPr>
        <w:spacing w:before="0" w:after="240" w:line="288" w:lineRule="auto"/>
      </w:pPr>
      <w:r>
        <w:rPr>
          <w:rFonts w:ascii="Calibri" w:hAnsi="Calibri" w:eastAsia="Calibri"/>
          <w:b/>
          <w:color w:val="123047"/>
          <w:sz w:val="26"/>
        </w:rPr>
        <w:t>Read this before activation. These powers remain yours.</w:t>
      </w:r>
    </w:p>
    <w:p>
      <w:pPr>
        <w:keepNext/>
        <w:spacing w:before="0" w:after="80" w:line="300" w:lineRule="auto"/>
        <w:numPr>
          <w:ilvl w:val="0"/>
          <w:numId w:val="12"/>
        </w:numPr>
      </w:pPr>
      <w:r>
        <w:rPr>
          <w:rFonts w:ascii="Calibri" w:hAnsi="Calibri" w:eastAsia="Calibri"/>
          <w:color w:val="1F2937"/>
          <w:sz w:val="22"/>
        </w:rPr>
        <w:t>The NP owns every professional and clinical decision.</w:t>
      </w:r>
    </w:p>
    <w:p>
      <w:pPr>
        <w:keepNext/>
        <w:spacing w:before="0" w:after="80" w:line="300" w:lineRule="auto"/>
        <w:numPr>
          <w:ilvl w:val="0"/>
          <w:numId w:val="12"/>
        </w:numPr>
      </w:pPr>
      <w:r>
        <w:rPr>
          <w:rFonts w:ascii="Calibri" w:hAnsi="Calibri" w:eastAsia="Calibri"/>
          <w:color w:val="1F2937"/>
          <w:sz w:val="22"/>
        </w:rPr>
        <w:t>No patient information enters the personal workspace by default.</w:t>
      </w:r>
    </w:p>
    <w:p>
      <w:pPr>
        <w:keepNext/>
        <w:spacing w:before="0" w:after="80" w:line="300" w:lineRule="auto"/>
        <w:numPr>
          <w:ilvl w:val="0"/>
          <w:numId w:val="12"/>
        </w:numPr>
      </w:pPr>
      <w:r>
        <w:rPr>
          <w:rFonts w:ascii="Calibri" w:hAnsi="Calibri" w:eastAsia="Calibri"/>
          <w:color w:val="1F2937"/>
          <w:sz w:val="22"/>
        </w:rPr>
        <w:t>The EHR, prescribing system, official portals, current law, approved policy, and qualified humans remain authoritative.</w:t>
      </w:r>
    </w:p>
    <w:p>
      <w:pPr>
        <w:keepNext/>
        <w:spacing w:before="0" w:after="80" w:line="300" w:lineRule="auto"/>
        <w:numPr>
          <w:ilvl w:val="0"/>
          <w:numId w:val="12"/>
        </w:numPr>
      </w:pPr>
      <w:r>
        <w:rPr>
          <w:rFonts w:ascii="Calibri" w:hAnsi="Calibri" w:eastAsia="Calibri"/>
          <w:color w:val="1F2937"/>
          <w:sz w:val="22"/>
        </w:rPr>
        <w:t>The narrowest applicable professional boundary wins; uncertainty triggers verification rather than a permissive guess.</w:t>
      </w:r>
    </w:p>
    <w:p>
      <w:pPr>
        <w:keepNext/>
        <w:spacing w:before="0" w:after="80" w:line="300" w:lineRule="auto"/>
        <w:numPr>
          <w:ilvl w:val="0"/>
          <w:numId w:val="12"/>
        </w:numPr>
      </w:pPr>
      <w:r>
        <w:rPr>
          <w:rFonts w:ascii="Calibri" w:hAnsi="Calibri" w:eastAsia="Calibri"/>
          <w:color w:val="1F2937"/>
          <w:sz w:val="22"/>
        </w:rPr>
        <w:t>Evidence must be current, traceable, dated, and interpreted in context.</w:t>
      </w:r>
    </w:p>
    <w:p>
      <w:pPr>
        <w:keepNext/>
        <w:spacing w:before="0" w:after="80" w:line="300" w:lineRule="auto"/>
        <w:numPr>
          <w:ilvl w:val="0"/>
          <w:numId w:val="12"/>
        </w:numPr>
      </w:pPr>
      <w:r>
        <w:rPr>
          <w:rFonts w:ascii="Calibri" w:hAnsi="Calibri" w:eastAsia="Calibri"/>
          <w:color w:val="1F2937"/>
          <w:sz w:val="22"/>
        </w:rPr>
        <w:t>Nothing is sent, published, scheduled, filed, signed, prescribed, ordered, or changed without the required preview and approval.</w:t>
      </w:r>
    </w:p>
    <w:p>
      <w:pPr>
        <w:keepNext/>
        <w:spacing w:before="0" w:after="80" w:line="300" w:lineRule="auto"/>
        <w:numPr>
          <w:ilvl w:val="0"/>
          <w:numId w:val="12"/>
        </w:numPr>
      </w:pPr>
      <w:r>
        <w:rPr>
          <w:rFonts w:ascii="Calibri" w:hAnsi="Calibri" w:eastAsia="Calibri"/>
          <w:color w:val="1F2937"/>
          <w:sz w:val="22"/>
        </w:rPr>
        <w:t>Hermes labels facts, inferences, suggestions, unknowns, and limitations separately.</w:t>
      </w:r>
    </w:p>
    <w:p>
      <w:pPr>
        <w:keepNext/>
        <w:spacing w:before="0" w:after="80" w:line="300" w:lineRule="auto"/>
        <w:numPr>
          <w:ilvl w:val="0"/>
          <w:numId w:val="12"/>
        </w:numPr>
      </w:pPr>
      <w:r>
        <w:rPr>
          <w:rFonts w:ascii="Calibri" w:hAnsi="Calibri" w:eastAsia="Calibri"/>
          <w:color w:val="1F2937"/>
          <w:sz w:val="22"/>
        </w:rPr>
        <w:t>You may pause, disconnect, correct, forget, export, or retire a workflow at any time.</w:t>
      </w:r>
    </w:p>
    <w:p>
      <w:pPr>
        <w:keepNext/>
        <w:spacing w:before="0" w:after="80" w:line="300" w:lineRule="auto"/>
        <w:numPr>
          <w:ilvl w:val="0"/>
          <w:numId w:val="12"/>
        </w:numPr>
      </w:pPr>
      <w:r>
        <w:rPr>
          <w:rFonts w:ascii="Calibri" w:hAnsi="Calibri" w:eastAsia="Calibri"/>
          <w:color w:val="1F2937"/>
          <w:sz w:val="22"/>
        </w:rPr>
        <w:t>Personal goals and recovery are legitimate outcomes—not rewards earned after every work demand is finished.</w:t>
      </w:r>
    </w:p>
    <w:p>
      <w:pPr>
        <w:spacing w:before="0" w:after="80" w:line="300" w:lineRule="auto"/>
        <w:numPr>
          <w:ilvl w:val="0"/>
          <w:numId w:val="12"/>
        </w:numPr>
      </w:pPr>
      <w:r>
        <w:rPr>
          <w:rFonts w:ascii="Calibri" w:hAnsi="Calibri" w:eastAsia="Calibri"/>
          <w:color w:val="1F2937"/>
          <w:sz w:val="22"/>
        </w:rPr>
        <w:t>If a feature creates more burden than dependable benefit, remove it.</w:t>
      </w:r>
    </w:p>
    <w:p>
      <w:pPr>
        <w:pStyle w:val="Heading2"/>
        <w:keepNext/>
      </w:pPr>
      <w:r>
        <w:t>What Hermes can and cannot carry</w:t>
      </w:r>
    </w:p>
    <w:tbl>
      <w:tblPr>
        <w:tblW w:type="dxa" w:w="9360"/>
        <w:tblLayout w:type="fixed"/>
        <w:tblLook w:firstColumn="1" w:firstRow="1" w:lastColumn="0" w:lastRow="0" w:noHBand="0" w:noVBand="1" w:val="04A0"/>
        <w:jc w:val="left"/>
        <w:tblInd w:w="120" w:type="dxa"/>
        <w:tblBorders>
          <w:top w:val="single" w:sz="6" w:space="0" w:color="C9D3DD"/>
          <w:left w:val="single" w:sz="6" w:space="0" w:color="C9D3DD"/>
          <w:bottom w:val="single" w:sz="6" w:space="0" w:color="C9D3DD"/>
          <w:right w:val="single" w:sz="6" w:space="0" w:color="C9D3DD"/>
          <w:insideH w:val="single" w:sz="6" w:space="0" w:color="C9D3DD"/>
          <w:insideV w:val="single" w:sz="6" w:space="0" w:color="C9D3DD"/>
        </w:tblBorders>
      </w:tblPr>
      <w:tblGrid>
        <w:gridCol w:w="4400"/>
        <w:gridCol w:w="4960"/>
      </w:tblGrid>
      <w:tr>
        <w:trPr>
          <w:cantSplit/>
          <w:tblHeader w:val="true"/>
          <w:cantSplit/>
        </w:trPr>
        <w:tc>
          <w:tcPr>
            <w:tcW w:type="dxa" w:w="4400"/>
            <w:tcMar>
              <w:top w:w="80" w:type="dxa"/>
              <w:start w:w="120" w:type="dxa"/>
              <w:bottom w:w="80" w:type="dxa"/>
              <w:end w:w="120" w:type="dxa"/>
            </w:tcMar>
            <w:vAlign w:val="center"/>
            <w:shd w:fill="E8EEF5" w:val="clear"/>
          </w:tcPr>
          <w:p>
            <w:pPr>
              <w:spacing w:before="0" w:after="0" w:line="252" w:lineRule="auto"/>
              <w:jc w:val="left"/>
            </w:pPr>
            <w:r/>
            <w:r>
              <w:rPr>
                <w:rFonts w:ascii="Calibri" w:hAnsi="Calibri" w:eastAsia="Calibri"/>
                <w:b/>
                <w:color w:val="123047"/>
                <w:sz w:val="18"/>
              </w:rPr>
              <w:t>Hermes may</w:t>
            </w:r>
          </w:p>
        </w:tc>
        <w:tc>
          <w:tcPr>
            <w:tcW w:type="dxa" w:w="4960"/>
            <w:tcMar>
              <w:top w:w="80" w:type="dxa"/>
              <w:start w:w="120" w:type="dxa"/>
              <w:bottom w:w="80" w:type="dxa"/>
              <w:end w:w="120" w:type="dxa"/>
            </w:tcMar>
            <w:vAlign w:val="center"/>
            <w:shd w:fill="E8EEF5" w:val="clear"/>
          </w:tcPr>
          <w:p>
            <w:pPr>
              <w:spacing w:before="0" w:after="0" w:line="252" w:lineRule="auto"/>
              <w:jc w:val="left"/>
            </w:pPr>
            <w:r/>
            <w:r>
              <w:rPr>
                <w:rFonts w:ascii="Calibri" w:hAnsi="Calibri" w:eastAsia="Calibri"/>
                <w:b/>
                <w:color w:val="123047"/>
                <w:sz w:val="18"/>
              </w:rPr>
              <w:t>The NP or official system must</w:t>
            </w:r>
          </w:p>
        </w:tc>
      </w:tr>
      <w:tr>
        <w:trPr>
          <w:cantSplit/>
        </w:trPr>
        <w:tc>
          <w:tcPr>
            <w:tcW w:type="dxa" w:w="440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Prepare options, questions, drafts, and checklists</w:t>
            </w:r>
          </w:p>
        </w:tc>
        <w:tc>
          <w:tcPr>
            <w:tcW w:type="dxa" w:w="496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Judge, decide, authorize, and act</w:t>
            </w:r>
          </w:p>
        </w:tc>
      </w:tr>
      <w:tr>
        <w:trPr>
          <w:cantSplit/>
        </w:trPr>
        <w:tc>
          <w:tcPr>
            <w:tcW w:type="dxa" w:w="440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Track dates, links, evidence locations, and open loops</w:t>
            </w:r>
          </w:p>
        </w:tc>
        <w:tc>
          <w:tcPr>
            <w:tcW w:type="dxa" w:w="496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Verify current status at the authoritative source</w:t>
            </w:r>
          </w:p>
        </w:tc>
      </w:tr>
      <w:tr>
        <w:trPr>
          <w:cantSplit/>
        </w:trPr>
        <w:tc>
          <w:tcPr>
            <w:tcW w:type="dxa" w:w="440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Summarize public evidence with limits and uncertainty</w:t>
            </w:r>
          </w:p>
        </w:tc>
        <w:tc>
          <w:tcPr>
            <w:tcW w:type="dxa" w:w="496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Apply professional judgment to the real context</w:t>
            </w:r>
          </w:p>
        </w:tc>
      </w:tr>
    </w:tbl>
    <w:p>
      <w:pPr>
        <w:spacing w:before="0" w:after="40"/>
      </w:pPr>
    </w:p>
    <w:p>
      <w:pPr>
        <w:spacing w:before="120" w:after="200" w:line="276" w:lineRule="auto"/>
        <w:shd w:fill="FFF4D6"/>
        <w:pBdr>
          <w:left w:val="single" w:sz="18" w:space="8" w:color="B78316"/>
        </w:pBdr>
        <w:ind w:left="180" w:right="120"/>
      </w:pPr>
      <w:r>
        <w:rPr>
          <w:rFonts w:ascii="Calibri" w:hAnsi="Calibri" w:eastAsia="Calibri"/>
          <w:b/>
          <w:color w:val="123047"/>
          <w:sz w:val="22"/>
        </w:rPr>
        <w:t xml:space="preserve">Activation acknowledgment: </w:t>
      </w:r>
      <w:r>
        <w:rPr>
          <w:rFonts w:ascii="Calibri" w:hAnsi="Calibri" w:eastAsia="Calibri"/>
          <w:color w:val="1F2937"/>
          <w:sz w:val="22"/>
        </w:rPr>
        <w:t>I understand that Hermes is a preparation and follow-through system. It is not my license, clinical record, prescriber, credentialing authority, lawyer, accountant, or substitute for qualified human judgment.</w:t>
      </w:r>
    </w:p>
    <w:p>
      <w:r>
        <w:br w:type="page"/>
      </w:r>
    </w:p>
    <w:p>
      <w:pPr>
        <w:pStyle w:val="Heading1"/>
        <w:keepNext/>
      </w:pPr>
      <w:r>
        <w:t>How the empowerment function is organized</w:t>
      </w:r>
    </w:p>
    <w:p>
      <w:pPr>
        <w:spacing w:before="120" w:after="80"/>
        <w:jc w:val="center"/>
      </w:pPr>
      <w:r>
        <w:drawing>
          <wp:inline xmlns:a="http://schemas.openxmlformats.org/drawingml/2006/main" xmlns:pic="http://schemas.openxmlformats.org/drawingml/2006/picture">
            <wp:extent cx="5897880" cy="3428143"/>
            <wp:docPr id="1" name="Picture 1" descr="The NP remains at the center. Five support departments share one Trust Shield and never inherit professional authority." title="Np Architecture"/>
            <wp:cNvGraphicFramePr>
              <a:graphicFrameLocks noChangeAspect="1"/>
            </wp:cNvGraphicFramePr>
            <a:graphic>
              <a:graphicData uri="http://schemas.openxmlformats.org/drawingml/2006/picture">
                <pic:pic>
                  <pic:nvPicPr>
                    <pic:cNvPr id="0" name="np-architecture.png"/>
                    <pic:cNvPicPr/>
                  </pic:nvPicPr>
                  <pic:blipFill>
                    <a:blip r:embed="rId11"/>
                    <a:stretch>
                      <a:fillRect/>
                    </a:stretch>
                  </pic:blipFill>
                  <pic:spPr>
                    <a:xfrm>
                      <a:off x="0" y="0"/>
                      <a:ext cx="5897880" cy="3428143"/>
                    </a:xfrm>
                    <a:prstGeom prst="rect"/>
                  </pic:spPr>
                </pic:pic>
              </a:graphicData>
            </a:graphic>
          </wp:inline>
        </w:drawing>
      </w:r>
    </w:p>
    <w:p>
      <w:pPr>
        <w:spacing w:before="0" w:after="200"/>
        <w:jc w:val="center"/>
      </w:pPr>
      <w:r>
        <w:rPr>
          <w:rFonts w:ascii="Calibri" w:hAnsi="Calibri" w:eastAsia="Calibri"/>
          <w:i/>
          <w:color w:val="5F6B76"/>
          <w:sz w:val="18"/>
        </w:rPr>
        <w:t>The NP remains at the center. Five support departments share one Trust Shield and never inherit professional authority.</w:t>
      </w:r>
    </w:p>
    <w:tbl>
      <w:tblPr>
        <w:tblW w:type="dxa" w:w="9360"/>
        <w:tblLayout w:type="fixed"/>
        <w:tblLook w:firstColumn="1" w:firstRow="1" w:lastColumn="0" w:lastRow="0" w:noHBand="0" w:noVBand="1" w:val="04A0"/>
        <w:jc w:val="left"/>
        <w:tblInd w:w="120" w:type="dxa"/>
        <w:tblBorders>
          <w:top w:val="single" w:sz="6" w:space="0" w:color="C9D3DD"/>
          <w:left w:val="single" w:sz="6" w:space="0" w:color="C9D3DD"/>
          <w:bottom w:val="single" w:sz="6" w:space="0" w:color="C9D3DD"/>
          <w:right w:val="single" w:sz="6" w:space="0" w:color="C9D3DD"/>
          <w:insideH w:val="single" w:sz="6" w:space="0" w:color="C9D3DD"/>
          <w:insideV w:val="single" w:sz="6" w:space="0" w:color="C9D3DD"/>
        </w:tblBorders>
      </w:tblPr>
      <w:tblGrid>
        <w:gridCol w:w="3000"/>
        <w:gridCol w:w="6360"/>
      </w:tblGrid>
      <w:tr>
        <w:trPr>
          <w:cantSplit/>
          <w:tblHeader w:val="true"/>
          <w:cantSplit/>
        </w:trPr>
        <w:tc>
          <w:tcPr>
            <w:tcW w:type="dxa" w:w="3000"/>
            <w:tcMar>
              <w:top w:w="80" w:type="dxa"/>
              <w:start w:w="120" w:type="dxa"/>
              <w:bottom w:w="80" w:type="dxa"/>
              <w:end w:w="120" w:type="dxa"/>
            </w:tcMar>
            <w:vAlign w:val="center"/>
            <w:shd w:fill="E8EEF5" w:val="clear"/>
          </w:tcPr>
          <w:p>
            <w:pPr>
              <w:spacing w:before="0" w:after="0" w:line="252" w:lineRule="auto"/>
              <w:jc w:val="left"/>
            </w:pPr>
            <w:r/>
            <w:r>
              <w:rPr>
                <w:rFonts w:ascii="Calibri" w:hAnsi="Calibri" w:eastAsia="Calibri"/>
                <w:b/>
                <w:color w:val="123047"/>
                <w:sz w:val="18"/>
              </w:rPr>
              <w:t>Department</w:t>
            </w:r>
          </w:p>
        </w:tc>
        <w:tc>
          <w:tcPr>
            <w:tcW w:type="dxa" w:w="6360"/>
            <w:tcMar>
              <w:top w:w="80" w:type="dxa"/>
              <w:start w:w="120" w:type="dxa"/>
              <w:bottom w:w="80" w:type="dxa"/>
              <w:end w:w="120" w:type="dxa"/>
            </w:tcMar>
            <w:vAlign w:val="center"/>
            <w:shd w:fill="E8EEF5" w:val="clear"/>
          </w:tcPr>
          <w:p>
            <w:pPr>
              <w:spacing w:before="0" w:after="0" w:line="252" w:lineRule="auto"/>
              <w:jc w:val="left"/>
            </w:pPr>
            <w:r/>
            <w:r>
              <w:rPr>
                <w:rFonts w:ascii="Calibri" w:hAnsi="Calibri" w:eastAsia="Calibri"/>
                <w:b/>
                <w:color w:val="123047"/>
                <w:sz w:val="18"/>
              </w:rPr>
              <w:t>What it gives the NP</w:t>
            </w:r>
          </w:p>
        </w:tc>
      </w:tr>
      <w:tr>
        <w:trPr>
          <w:cantSplit/>
        </w:trPr>
        <w:tc>
          <w:tcPr>
            <w:tcW w:type="dxa" w:w="300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Life &amp; Practice Command Center</w:t>
            </w:r>
          </w:p>
        </w:tc>
        <w:tc>
          <w:tcPr>
            <w:tcW w:type="dxa" w:w="636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Daily, weekly, monthly, and 90-day orientation across professional and personal responsibilities.</w:t>
            </w:r>
          </w:p>
        </w:tc>
      </w:tr>
      <w:tr>
        <w:trPr>
          <w:cantSplit/>
        </w:trPr>
        <w:tc>
          <w:tcPr>
            <w:tcW w:type="dxa" w:w="300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Evidence, Learning &amp; Readiness</w:t>
            </w:r>
          </w:p>
        </w:tc>
        <w:tc>
          <w:tcPr>
            <w:tcW w:type="dxa" w:w="636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Source-aware briefs, learning sprints, fictional cases, teaching, scholarship, and knowledge-gap maps.</w:t>
            </w:r>
          </w:p>
        </w:tc>
      </w:tr>
      <w:tr>
        <w:trPr>
          <w:cantSplit/>
        </w:trPr>
        <w:tc>
          <w:tcPr>
            <w:tcW w:type="dxa" w:w="300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Credentials, Scope &amp; Career</w:t>
            </w:r>
          </w:p>
        </w:tc>
        <w:tc>
          <w:tcPr>
            <w:tcW w:type="dxa" w:w="636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Credential radar, Practice Boundary Check, verified portfolio, role transitions, and career options.</w:t>
            </w:r>
          </w:p>
        </w:tc>
      </w:tr>
      <w:tr>
        <w:trPr>
          <w:cantSplit/>
        </w:trPr>
        <w:tc>
          <w:tcPr>
            <w:tcW w:type="dxa" w:w="300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Communication, Leadership &amp; Impact</w:t>
            </w:r>
          </w:p>
        </w:tc>
        <w:tc>
          <w:tcPr>
            <w:tcW w:type="dxa" w:w="636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Consultation, negotiation, meetings, teaching, leadership, quality, policy, and community preparation.</w:t>
            </w:r>
          </w:p>
        </w:tc>
      </w:tr>
      <w:tr>
        <w:trPr>
          <w:cantSplit/>
        </w:trPr>
        <w:tc>
          <w:tcPr>
            <w:tcW w:type="dxa" w:w="300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Whole-Life, Wellbeing &amp; Venture</w:t>
            </w:r>
          </w:p>
        </w:tc>
        <w:tc>
          <w:tcPr>
            <w:tcW w:type="dxa" w:w="636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Recovery, relationships, finances, identity, business experiments, service, and a life beyond output.</w:t>
            </w:r>
          </w:p>
        </w:tc>
      </w:tr>
    </w:tbl>
    <w:p>
      <w:pPr>
        <w:spacing w:before="0" w:after="40"/>
      </w:pPr>
    </w:p>
    <w:p>
      <w:pPr>
        <w:pStyle w:val="Heading1"/>
        <w:keepNext/>
      </w:pPr>
      <w:r>
        <w:t>Two lanes, one life</w:t>
      </w:r>
    </w:p>
    <w:p>
      <w:pPr>
        <w:spacing w:before="120" w:after="80"/>
        <w:jc w:val="center"/>
      </w:pPr>
      <w:r>
        <w:drawing>
          <wp:inline xmlns:a="http://schemas.openxmlformats.org/drawingml/2006/main" xmlns:pic="http://schemas.openxmlformats.org/drawingml/2006/picture">
            <wp:extent cx="5897880" cy="3317558"/>
            <wp:docPr id="2" name="Picture 2" descr="Professional and life goals move together through shared values, time, energy, and privacy. Neither lane silently consumes the other." title="Np Two Lanes"/>
            <wp:cNvGraphicFramePr>
              <a:graphicFrameLocks noChangeAspect="1"/>
            </wp:cNvGraphicFramePr>
            <a:graphic>
              <a:graphicData uri="http://schemas.openxmlformats.org/drawingml/2006/picture">
                <pic:pic>
                  <pic:nvPicPr>
                    <pic:cNvPr id="0" name="np-two-lanes.png"/>
                    <pic:cNvPicPr/>
                  </pic:nvPicPr>
                  <pic:blipFill>
                    <a:blip r:embed="rId12"/>
                    <a:stretch>
                      <a:fillRect/>
                    </a:stretch>
                  </pic:blipFill>
                  <pic:spPr>
                    <a:xfrm>
                      <a:off x="0" y="0"/>
                      <a:ext cx="5897880" cy="3317558"/>
                    </a:xfrm>
                    <a:prstGeom prst="rect"/>
                  </pic:spPr>
                </pic:pic>
              </a:graphicData>
            </a:graphic>
          </wp:inline>
        </w:drawing>
      </w:r>
    </w:p>
    <w:p>
      <w:pPr>
        <w:spacing w:before="0" w:after="200"/>
        <w:jc w:val="center"/>
      </w:pPr>
      <w:r>
        <w:rPr>
          <w:rFonts w:ascii="Calibri" w:hAnsi="Calibri" w:eastAsia="Calibri"/>
          <w:i/>
          <w:color w:val="5F6B76"/>
          <w:sz w:val="18"/>
        </w:rPr>
        <w:t>Professional and life goals move together through shared values, time, energy, and privacy. Neither lane silently consumes the other.</w:t>
      </w:r>
    </w:p>
    <w:p>
      <w:pPr/>
      <w:r>
        <w:rPr>
          <w:rFonts w:ascii="Calibri" w:hAnsi="Calibri" w:eastAsia="Calibri"/>
          <w:i w:val="0"/>
          <w:color w:val="1F2937"/>
          <w:sz w:val="22"/>
        </w:rPr>
        <w:t>A strong 90-day plan may include one professional-readiness outcome, one career or impact outcome, and one protected-life outcome. You do not need ten priorities to prove seriousness. The system also records what you are deliberately not pursuing now.</w:t>
      </w:r>
    </w:p>
    <w:p>
      <w:pPr>
        <w:pStyle w:val="Heading2"/>
        <w:keepNext/>
      </w:pPr>
      <w:r>
        <w:t>North Star questions</w:t>
      </w:r>
    </w:p>
    <w:p>
      <w:pPr>
        <w:spacing w:before="0" w:after="80" w:line="300" w:lineRule="auto"/>
        <w:numPr>
          <w:ilvl w:val="0"/>
          <w:numId w:val="10"/>
        </w:numPr>
      </w:pPr>
      <w:r>
        <w:rPr>
          <w:rFonts w:ascii="Calibri" w:hAnsi="Calibri" w:eastAsia="Calibri"/>
          <w:color w:val="1F2937"/>
          <w:sz w:val="22"/>
        </w:rPr>
        <w:t>What kind of NP do I want to become in this season?</w:t>
      </w:r>
    </w:p>
    <w:p>
      <w:pPr>
        <w:spacing w:before="0" w:after="80" w:line="300" w:lineRule="auto"/>
        <w:numPr>
          <w:ilvl w:val="0"/>
          <w:numId w:val="10"/>
        </w:numPr>
      </w:pPr>
      <w:r>
        <w:rPr>
          <w:rFonts w:ascii="Calibri" w:hAnsi="Calibri" w:eastAsia="Calibri"/>
          <w:color w:val="1F2937"/>
          <w:sz w:val="22"/>
        </w:rPr>
        <w:t>What kind of person do I want to remain?</w:t>
      </w:r>
    </w:p>
    <w:p>
      <w:pPr>
        <w:spacing w:before="0" w:after="80" w:line="300" w:lineRule="auto"/>
        <w:numPr>
          <w:ilvl w:val="0"/>
          <w:numId w:val="10"/>
        </w:numPr>
      </w:pPr>
      <w:r>
        <w:rPr>
          <w:rFonts w:ascii="Calibri" w:hAnsi="Calibri" w:eastAsia="Calibri"/>
          <w:color w:val="1F2937"/>
          <w:sz w:val="22"/>
        </w:rPr>
        <w:t>What must my career make possible—not merely demand?</w:t>
      </w:r>
    </w:p>
    <w:p>
      <w:pPr>
        <w:spacing w:before="0" w:after="80" w:line="300" w:lineRule="auto"/>
        <w:numPr>
          <w:ilvl w:val="0"/>
          <w:numId w:val="10"/>
        </w:numPr>
      </w:pPr>
      <w:r>
        <w:rPr>
          <w:rFonts w:ascii="Calibri" w:hAnsi="Calibri" w:eastAsia="Calibri"/>
          <w:color w:val="1F2937"/>
          <w:sz w:val="22"/>
        </w:rPr>
        <w:t>Which responsibilities are essential, and which accumulated by default?</w:t>
      </w:r>
    </w:p>
    <w:p>
      <w:pPr>
        <w:spacing w:before="0" w:after="80" w:line="300" w:lineRule="auto"/>
        <w:numPr>
          <w:ilvl w:val="0"/>
          <w:numId w:val="10"/>
        </w:numPr>
      </w:pPr>
      <w:r>
        <w:rPr>
          <w:rFonts w:ascii="Calibri" w:hAnsi="Calibri" w:eastAsia="Calibri"/>
          <w:color w:val="1F2937"/>
          <w:sz w:val="22"/>
        </w:rPr>
        <w:t>What do I want to protect during a demanding month?</w:t>
      </w:r>
    </w:p>
    <w:p>
      <w:pPr>
        <w:spacing w:before="0" w:after="80" w:line="300" w:lineRule="auto"/>
        <w:numPr>
          <w:ilvl w:val="0"/>
          <w:numId w:val="10"/>
        </w:numPr>
      </w:pPr>
      <w:r>
        <w:rPr>
          <w:rFonts w:ascii="Calibri" w:hAnsi="Calibri" w:eastAsia="Calibri"/>
          <w:color w:val="1F2937"/>
          <w:sz w:val="22"/>
        </w:rPr>
        <w:t>What contribution matters beyond today's workload?</w:t>
      </w:r>
    </w:p>
    <w:p>
      <w:pPr>
        <w:spacing w:before="0" w:after="80" w:line="300" w:lineRule="auto"/>
        <w:numPr>
          <w:ilvl w:val="0"/>
          <w:numId w:val="10"/>
        </w:numPr>
      </w:pPr>
      <w:r>
        <w:rPr>
          <w:rFonts w:ascii="Calibri" w:hAnsi="Calibri" w:eastAsia="Calibri"/>
          <w:color w:val="1F2937"/>
          <w:sz w:val="22"/>
        </w:rPr>
        <w:t>What would enough look like?</w:t>
      </w:r>
    </w:p>
    <w:p>
      <w:r>
        <w:br w:type="page"/>
      </w:r>
    </w:p>
    <w:p>
      <w:pPr>
        <w:pStyle w:val="Heading1"/>
        <w:keepNext/>
      </w:pPr>
      <w:r>
        <w:t>Safe clinical and professional boundaries</w:t>
      </w:r>
    </w:p>
    <w:p>
      <w:pPr>
        <w:spacing w:before="0" w:after="240" w:line="288" w:lineRule="auto"/>
      </w:pPr>
      <w:r>
        <w:rPr>
          <w:rFonts w:ascii="Calibri" w:hAnsi="Calibri" w:eastAsia="Calibri"/>
          <w:b/>
          <w:color w:val="123047"/>
          <w:sz w:val="26"/>
        </w:rPr>
        <w:t>This personal pack does not authorize patient care, clinical documentation, prescribing, billing, or protected information.</w:t>
      </w:r>
    </w:p>
    <w:p>
      <w:pPr/>
      <w:r>
        <w:rPr>
          <w:rFonts w:ascii="Calibri" w:hAnsi="Calibri" w:eastAsia="Calibri"/>
          <w:i w:val="0"/>
          <w:color w:val="1F2937"/>
          <w:sz w:val="22"/>
        </w:rPr>
        <w:t>Unless an organization has formally approved the exact system, configuration, contract, data type, and workflow, use Hermes as a no-PHI personal and professional planning environment. AI output is not a diagnosis, order, prescription, chart entry, coding determination, credentialing decision, legal opinion, or emergency response.</w:t>
      </w:r>
    </w:p>
    <w:p>
      <w:pPr>
        <w:spacing w:before="120" w:after="200" w:line="276" w:lineRule="auto"/>
        <w:shd w:fill="F8E8E7"/>
        <w:pBdr>
          <w:left w:val="single" w:sz="18" w:space="8" w:color="B95756"/>
        </w:pBdr>
        <w:ind w:left="180" w:right="120"/>
      </w:pPr>
      <w:r>
        <w:rPr>
          <w:rFonts w:ascii="Calibri" w:hAnsi="Calibri" w:eastAsia="Calibri"/>
          <w:b/>
          <w:color w:val="123047"/>
          <w:sz w:val="22"/>
        </w:rPr>
        <w:t xml:space="preserve">Quick rule: </w:t>
      </w:r>
      <w:r>
        <w:rPr>
          <w:rFonts w:ascii="Calibri" w:hAnsi="Calibri" w:eastAsia="Calibri"/>
          <w:color w:val="1F2937"/>
          <w:sz w:val="22"/>
        </w:rPr>
        <w:t>As a task moves closer to a real patient, your license, a regulated action, or an external system, the review level must rise. When uncertain, stop in Preview mode.</w:t>
      </w:r>
    </w:p>
    <w:p>
      <w:pPr>
        <w:pStyle w:val="Heading1"/>
        <w:keepNext/>
      </w:pPr>
      <w:r>
        <w:t>The seven-gate Practice Boundary Check</w:t>
      </w:r>
    </w:p>
    <w:p>
      <w:pPr>
        <w:spacing w:before="120" w:after="80"/>
        <w:jc w:val="center"/>
      </w:pPr>
      <w:r>
        <w:drawing>
          <wp:inline xmlns:a="http://schemas.openxmlformats.org/drawingml/2006/main" xmlns:pic="http://schemas.openxmlformats.org/drawingml/2006/picture">
            <wp:extent cx="5806440" cy="3701606"/>
            <wp:docPr id="3" name="Picture 3" descr="Jurisdiction, official authority, population focus, competence, privileges, program rules, and actual context all matter. Hermes prepares the check; an official source or qualified human resolves it." title="Np Practice Boundary"/>
            <wp:cNvGraphicFramePr>
              <a:graphicFrameLocks noChangeAspect="1"/>
            </wp:cNvGraphicFramePr>
            <a:graphic>
              <a:graphicData uri="http://schemas.openxmlformats.org/drawingml/2006/picture">
                <pic:pic>
                  <pic:nvPicPr>
                    <pic:cNvPr id="0" name="np-practice-boundary.png"/>
                    <pic:cNvPicPr/>
                  </pic:nvPicPr>
                  <pic:blipFill>
                    <a:blip r:embed="rId13"/>
                    <a:stretch>
                      <a:fillRect/>
                    </a:stretch>
                  </pic:blipFill>
                  <pic:spPr>
                    <a:xfrm>
                      <a:off x="0" y="0"/>
                      <a:ext cx="5806440" cy="3701606"/>
                    </a:xfrm>
                    <a:prstGeom prst="rect"/>
                  </pic:spPr>
                </pic:pic>
              </a:graphicData>
            </a:graphic>
          </wp:inline>
        </w:drawing>
      </w:r>
    </w:p>
    <w:p>
      <w:pPr>
        <w:spacing w:before="0" w:after="200"/>
        <w:jc w:val="center"/>
      </w:pPr>
      <w:r>
        <w:rPr>
          <w:rFonts w:ascii="Calibri" w:hAnsi="Calibri" w:eastAsia="Calibri"/>
          <w:i/>
          <w:color w:val="5F6B76"/>
          <w:sz w:val="18"/>
        </w:rPr>
        <w:t>Jurisdiction, official authority, population focus, competence, privileges, program rules, and actual context all matter. Hermes prepares the check; an official source or qualified human resolves it.</w:t>
      </w:r>
    </w:p>
    <w:p>
      <w:r>
        <w:br w:type="page"/>
      </w:r>
    </w:p>
    <w:p>
      <w:pPr>
        <w:pStyle w:val="Heading2"/>
        <w:keepNext/>
      </w:pPr>
      <w:r>
        <w:t>Green, Yellow, Orange, and Red</w:t>
      </w:r>
    </w:p>
    <w:tbl>
      <w:tblPr>
        <w:tblW w:type="dxa" w:w="9360"/>
        <w:tblLayout w:type="fixed"/>
        <w:tblLook w:firstColumn="1" w:firstRow="1" w:lastColumn="0" w:lastRow="0" w:noHBand="0" w:noVBand="1" w:val="04A0"/>
        <w:jc w:val="left"/>
        <w:tblInd w:w="120" w:type="dxa"/>
        <w:tblBorders>
          <w:top w:val="single" w:sz="6" w:space="0" w:color="C9D3DD"/>
          <w:left w:val="single" w:sz="6" w:space="0" w:color="C9D3DD"/>
          <w:bottom w:val="single" w:sz="6" w:space="0" w:color="C9D3DD"/>
          <w:right w:val="single" w:sz="6" w:space="0" w:color="C9D3DD"/>
          <w:insideH w:val="single" w:sz="6" w:space="0" w:color="C9D3DD"/>
          <w:insideV w:val="single" w:sz="6" w:space="0" w:color="C9D3DD"/>
        </w:tblBorders>
      </w:tblPr>
      <w:tblGrid>
        <w:gridCol w:w="1300"/>
        <w:gridCol w:w="4700"/>
        <w:gridCol w:w="3360"/>
      </w:tblGrid>
      <w:tr>
        <w:trPr>
          <w:cantSplit/>
          <w:tblHeader w:val="true"/>
          <w:cantSplit/>
        </w:trPr>
        <w:tc>
          <w:tcPr>
            <w:tcW w:type="dxa" w:w="1300"/>
            <w:tcMar>
              <w:top w:w="80" w:type="dxa"/>
              <w:start w:w="120" w:type="dxa"/>
              <w:bottom w:w="80" w:type="dxa"/>
              <w:end w:w="120" w:type="dxa"/>
            </w:tcMar>
            <w:vAlign w:val="center"/>
            <w:shd w:fill="E8EEF5" w:val="clear"/>
          </w:tcPr>
          <w:p>
            <w:pPr>
              <w:spacing w:before="0" w:after="0" w:line="252" w:lineRule="auto"/>
              <w:jc w:val="left"/>
            </w:pPr>
            <w:r/>
            <w:r>
              <w:rPr>
                <w:rFonts w:ascii="Calibri" w:hAnsi="Calibri" w:eastAsia="Calibri"/>
                <w:b/>
                <w:color w:val="123047"/>
                <w:sz w:val="18"/>
              </w:rPr>
              <w:t>Tier</w:t>
            </w:r>
          </w:p>
        </w:tc>
        <w:tc>
          <w:tcPr>
            <w:tcW w:type="dxa" w:w="4700"/>
            <w:tcMar>
              <w:top w:w="80" w:type="dxa"/>
              <w:start w:w="120" w:type="dxa"/>
              <w:bottom w:w="80" w:type="dxa"/>
              <w:end w:w="120" w:type="dxa"/>
            </w:tcMar>
            <w:vAlign w:val="center"/>
            <w:shd w:fill="E8EEF5" w:val="clear"/>
          </w:tcPr>
          <w:p>
            <w:pPr>
              <w:spacing w:before="0" w:after="0" w:line="252" w:lineRule="auto"/>
              <w:jc w:val="left"/>
            </w:pPr>
            <w:r/>
            <w:r>
              <w:rPr>
                <w:rFonts w:ascii="Calibri" w:hAnsi="Calibri" w:eastAsia="Calibri"/>
                <w:b/>
                <w:color w:val="123047"/>
                <w:sz w:val="18"/>
              </w:rPr>
              <w:t>Examples</w:t>
            </w:r>
          </w:p>
        </w:tc>
        <w:tc>
          <w:tcPr>
            <w:tcW w:type="dxa" w:w="3360"/>
            <w:tcMar>
              <w:top w:w="80" w:type="dxa"/>
              <w:start w:w="120" w:type="dxa"/>
              <w:bottom w:w="80" w:type="dxa"/>
              <w:end w:w="120" w:type="dxa"/>
            </w:tcMar>
            <w:vAlign w:val="center"/>
            <w:shd w:fill="E8EEF5" w:val="clear"/>
          </w:tcPr>
          <w:p>
            <w:pPr>
              <w:spacing w:before="0" w:after="0" w:line="252" w:lineRule="auto"/>
              <w:jc w:val="left"/>
            </w:pPr>
            <w:r/>
            <w:r>
              <w:rPr>
                <w:rFonts w:ascii="Calibri" w:hAnsi="Calibri" w:eastAsia="Calibri"/>
                <w:b/>
                <w:color w:val="123047"/>
                <w:sz w:val="18"/>
              </w:rPr>
              <w:t>Required behavior</w:t>
            </w:r>
          </w:p>
        </w:tc>
      </w:tr>
      <w:tr>
        <w:trPr>
          <w:cantSplit/>
        </w:trPr>
        <w:tc>
          <w:tcPr>
            <w:tcW w:type="dxa" w:w="130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Green</w:t>
            </w:r>
          </w:p>
        </w:tc>
        <w:tc>
          <w:tcPr>
            <w:tcW w:type="dxa" w:w="470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Private planning, public-source summaries, generic learning, fictional cases, life goals</w:t>
            </w:r>
          </w:p>
        </w:tc>
        <w:tc>
          <w:tcPr>
            <w:tcW w:type="dxa" w:w="336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Proceed privately; no external action.</w:t>
            </w:r>
          </w:p>
        </w:tc>
      </w:tr>
      <w:tr>
        <w:trPr>
          <w:cantSplit/>
        </w:trPr>
        <w:tc>
          <w:tcPr>
            <w:tcW w:type="dxa" w:w="130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Yellow</w:t>
            </w:r>
          </w:p>
        </w:tc>
        <w:tc>
          <w:tcPr>
            <w:tcW w:type="dxa" w:w="470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Evidence, credential questions, career, communication, teaching, project, or contract preparation</w:t>
            </w:r>
          </w:p>
        </w:tc>
        <w:tc>
          <w:tcPr>
            <w:tcW w:type="dxa" w:w="336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Show sources, assumptions, uncertainty, decision owner, and preview.</w:t>
            </w:r>
          </w:p>
        </w:tc>
      </w:tr>
      <w:tr>
        <w:trPr>
          <w:cantSplit/>
        </w:trPr>
        <w:tc>
          <w:tcPr>
            <w:tcW w:type="dxa" w:w="130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Orange</w:t>
            </w:r>
          </w:p>
        </w:tc>
        <w:tc>
          <w:tcPr>
            <w:tcW w:type="dxa" w:w="470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Possible sensitive data or license, employment, legal, financial, prescribing, payer, telehealth, or public consequence</w:t>
            </w:r>
          </w:p>
        </w:tc>
        <w:tc>
          <w:tcPr>
            <w:tcW w:type="dxa" w:w="336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Minimize data, use session-only mode, pause action, and route for qualified verification.</w:t>
            </w:r>
          </w:p>
        </w:tc>
      </w:tr>
      <w:tr>
        <w:trPr>
          <w:cantSplit/>
        </w:trPr>
        <w:tc>
          <w:tcPr>
            <w:tcW w:type="dxa" w:w="130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Red</w:t>
            </w:r>
          </w:p>
        </w:tc>
        <w:tc>
          <w:tcPr>
            <w:tcW w:type="dxa" w:w="470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Patient-specific care, PHI, prescriptions, orders, charting, claims, attestations, impersonation, falsification, unsafe automation</w:t>
            </w:r>
          </w:p>
        </w:tc>
        <w:tc>
          <w:tcPr>
            <w:tcW w:type="dxa" w:w="336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Refuse, protect information, and use the authorized human or system.</w:t>
            </w:r>
          </w:p>
        </w:tc>
      </w:tr>
    </w:tbl>
    <w:p>
      <w:pPr>
        <w:spacing w:before="0" w:after="40"/>
      </w:pPr>
    </w:p>
    <w:p>
      <w:pPr>
        <w:pStyle w:val="Heading2"/>
        <w:keepNext/>
      </w:pPr>
      <w:r>
        <w:t>When real patient care appears</w:t>
      </w:r>
    </w:p>
    <w:p>
      <w:pPr>
        <w:spacing w:before="120" w:after="200" w:line="276" w:lineRule="auto"/>
        <w:shd w:fill="F8E8E7"/>
        <w:pBdr>
          <w:left w:val="single" w:sz="18" w:space="8" w:color="B95756"/>
        </w:pBdr>
        <w:ind w:left="180" w:right="120"/>
      </w:pPr>
      <w:r>
        <w:rPr>
          <w:rFonts w:ascii="Calibri" w:hAnsi="Calibri" w:eastAsia="Calibri"/>
          <w:b/>
          <w:color w:val="123047"/>
          <w:sz w:val="22"/>
        </w:rPr>
        <w:t xml:space="preserve">Hermes response: </w:t>
      </w:r>
      <w:r>
        <w:rPr>
          <w:rFonts w:ascii="Calibri" w:hAnsi="Calibri" w:eastAsia="Calibri"/>
          <w:color w:val="1F2937"/>
          <w:sz w:val="22"/>
        </w:rPr>
        <w:t>I cannot process patient details or direct patient-specific care in this personal workspace. Use the approved clinical record, current organizational resources, and the responsible clinical team now. I can later help with a fully generic learning question that contains no patient information.</w:t>
      </w:r>
    </w:p>
    <w:p>
      <w:pPr/>
      <w:r>
        <w:rPr>
          <w:rFonts w:ascii="Calibri" w:hAnsi="Calibri" w:eastAsia="Calibri"/>
          <w:i w:val="0"/>
          <w:color w:val="1F2937"/>
          <w:sz w:val="22"/>
        </w:rPr>
        <w:t>Hermes must not delay escalation by asking for more clinical details. Removing a name does not automatically make a clinical narrative de-identified.</w:t>
      </w:r>
    </w:p>
    <w:p>
      <w:pPr>
        <w:pStyle w:val="Heading1"/>
        <w:keepNext/>
      </w:pPr>
      <w:r>
        <w:t>Before you begin</w:t>
      </w:r>
    </w:p>
    <w:p>
      <w:pPr>
        <w:spacing w:before="0" w:after="80" w:line="300" w:lineRule="auto"/>
        <w:numPr>
          <w:ilvl w:val="0"/>
          <w:numId w:val="10"/>
        </w:numPr>
      </w:pPr>
      <w:r>
        <w:rPr>
          <w:rFonts w:ascii="Calibri" w:hAnsi="Calibri" w:eastAsia="Calibri"/>
          <w:color w:val="1F2937"/>
          <w:sz w:val="22"/>
        </w:rPr>
        <w:t>Use your own account on a personal or organization-approved device, with multifactor authentication or a passkey.</w:t>
      </w:r>
    </w:p>
    <w:p>
      <w:pPr>
        <w:spacing w:before="0" w:after="80" w:line="300" w:lineRule="auto"/>
        <w:numPr>
          <w:ilvl w:val="0"/>
          <w:numId w:val="10"/>
        </w:numPr>
      </w:pPr>
      <w:r>
        <w:rPr>
          <w:rFonts w:ascii="Calibri" w:hAnsi="Calibri" w:eastAsia="Calibri"/>
          <w:color w:val="1F2937"/>
          <w:sz w:val="22"/>
        </w:rPr>
        <w:t>Set aside 20–30 quiet minutes for first setup.</w:t>
      </w:r>
    </w:p>
    <w:p>
      <w:pPr>
        <w:spacing w:before="0" w:after="80" w:line="300" w:lineRule="auto"/>
        <w:numPr>
          <w:ilvl w:val="0"/>
          <w:numId w:val="10"/>
        </w:numPr>
      </w:pPr>
      <w:r>
        <w:rPr>
          <w:rFonts w:ascii="Calibri" w:hAnsi="Calibri" w:eastAsia="Calibri"/>
          <w:color w:val="1F2937"/>
          <w:sz w:val="22"/>
        </w:rPr>
        <w:t>Bring your top professional and life goals, broad schedule pattern, role list, and preferred communication style.</w:t>
      </w:r>
    </w:p>
    <w:p>
      <w:pPr>
        <w:spacing w:before="0" w:after="80" w:line="300" w:lineRule="auto"/>
        <w:numPr>
          <w:ilvl w:val="0"/>
          <w:numId w:val="10"/>
        </w:numPr>
      </w:pPr>
      <w:r>
        <w:rPr>
          <w:rFonts w:ascii="Calibri" w:hAnsi="Calibri" w:eastAsia="Calibri"/>
          <w:color w:val="1F2937"/>
          <w:sz w:val="22"/>
        </w:rPr>
        <w:t>Bring renewal dates or official links—but not passwords, authentication codes, credential files, signature images, or controlled-substance credentials.</w:t>
      </w:r>
    </w:p>
    <w:p>
      <w:pPr>
        <w:spacing w:before="0" w:after="80" w:line="300" w:lineRule="auto"/>
        <w:numPr>
          <w:ilvl w:val="0"/>
          <w:numId w:val="10"/>
        </w:numPr>
      </w:pPr>
      <w:r>
        <w:rPr>
          <w:rFonts w:ascii="Calibri" w:hAnsi="Calibri" w:eastAsia="Calibri"/>
          <w:color w:val="1F2937"/>
          <w:sz w:val="22"/>
        </w:rPr>
        <w:t>Know the employer AI, privacy, records, communication, and external-tool policies that may apply.</w:t>
      </w:r>
    </w:p>
    <w:p>
      <w:pPr>
        <w:spacing w:before="0" w:after="80" w:line="300" w:lineRule="auto"/>
        <w:numPr>
          <w:ilvl w:val="0"/>
          <w:numId w:val="10"/>
        </w:numPr>
      </w:pPr>
      <w:r>
        <w:rPr>
          <w:rFonts w:ascii="Calibri" w:hAnsi="Calibri" w:eastAsia="Calibri"/>
          <w:color w:val="1F2937"/>
          <w:sz w:val="22"/>
        </w:rPr>
        <w:t>Choose one real but low-risk goal for the first week.</w:t>
      </w:r>
    </w:p>
    <w:p>
      <w:pPr>
        <w:spacing w:before="0" w:after="80" w:line="300" w:lineRule="auto"/>
        <w:numPr>
          <w:ilvl w:val="0"/>
          <w:numId w:val="10"/>
        </w:numPr>
      </w:pPr>
      <w:r>
        <w:rPr>
          <w:rFonts w:ascii="Calibri" w:hAnsi="Calibri" w:eastAsia="Calibri"/>
          <w:color w:val="1F2937"/>
          <w:sz w:val="22"/>
        </w:rPr>
        <w:t>Keep EHR, prescribing, billing, patient messaging, credentialing, payer, and employer systems disconnected by default.</w:t>
      </w:r>
    </w:p>
    <w:p>
      <w:pPr>
        <w:spacing w:before="120" w:after="200" w:line="276" w:lineRule="auto"/>
        <w:shd w:fill="FFF4D6"/>
        <w:pBdr>
          <w:left w:val="single" w:sz="18" w:space="8" w:color="B78316"/>
        </w:pBdr>
        <w:ind w:left="180" w:right="120"/>
      </w:pPr>
      <w:r>
        <w:rPr>
          <w:rFonts w:ascii="Calibri" w:hAnsi="Calibri" w:eastAsia="Calibri"/>
          <w:b/>
          <w:color w:val="123047"/>
          <w:sz w:val="22"/>
        </w:rPr>
        <w:t xml:space="preserve">Recommended starting state: </w:t>
      </w:r>
      <w:r>
        <w:rPr>
          <w:rFonts w:ascii="Calibri" w:hAnsi="Calibri" w:eastAsia="Calibri"/>
          <w:color w:val="1F2937"/>
          <w:sz w:val="22"/>
        </w:rPr>
        <w:t>Memory: Ask before saving. Connections: None. External actions: Off. Automation: Manual, Assist, or Preview only.</w:t>
      </w:r>
    </w:p>
    <w:p>
      <w:pPr>
        <w:pStyle w:val="Heading1"/>
        <w:keepNext/>
      </w:pPr>
      <w:r>
        <w:t>Five data zones</w:t>
      </w:r>
    </w:p>
    <w:tbl>
      <w:tblPr>
        <w:tblW w:type="dxa" w:w="9360"/>
        <w:tblLayout w:type="fixed"/>
        <w:tblLook w:firstColumn="1" w:firstRow="1" w:lastColumn="0" w:lastRow="0" w:noHBand="0" w:noVBand="1" w:val="04A0"/>
        <w:jc w:val="left"/>
        <w:tblInd w:w="120" w:type="dxa"/>
        <w:tblBorders>
          <w:top w:val="single" w:sz="6" w:space="0" w:color="C9D3DD"/>
          <w:left w:val="single" w:sz="6" w:space="0" w:color="C9D3DD"/>
          <w:bottom w:val="single" w:sz="6" w:space="0" w:color="C9D3DD"/>
          <w:right w:val="single" w:sz="6" w:space="0" w:color="C9D3DD"/>
          <w:insideH w:val="single" w:sz="6" w:space="0" w:color="C9D3DD"/>
          <w:insideV w:val="single" w:sz="6" w:space="0" w:color="C9D3DD"/>
        </w:tblBorders>
      </w:tblPr>
      <w:tblGrid>
        <w:gridCol w:w="1700"/>
        <w:gridCol w:w="4000"/>
        <w:gridCol w:w="3660"/>
      </w:tblGrid>
      <w:tr>
        <w:trPr>
          <w:cantSplit/>
          <w:tblHeader w:val="true"/>
          <w:cantSplit/>
        </w:trPr>
        <w:tc>
          <w:tcPr>
            <w:tcW w:type="dxa" w:w="1700"/>
            <w:tcMar>
              <w:top w:w="80" w:type="dxa"/>
              <w:start w:w="120" w:type="dxa"/>
              <w:bottom w:w="80" w:type="dxa"/>
              <w:end w:w="120" w:type="dxa"/>
            </w:tcMar>
            <w:vAlign w:val="center"/>
            <w:shd w:fill="E8EEF5" w:val="clear"/>
          </w:tcPr>
          <w:p>
            <w:pPr>
              <w:spacing w:before="0" w:after="0" w:line="252" w:lineRule="auto"/>
              <w:jc w:val="left"/>
            </w:pPr>
            <w:r/>
            <w:r>
              <w:rPr>
                <w:rFonts w:ascii="Calibri" w:hAnsi="Calibri" w:eastAsia="Calibri"/>
                <w:b/>
                <w:color w:val="123047"/>
                <w:sz w:val="18"/>
              </w:rPr>
              <w:t>Zone</w:t>
            </w:r>
          </w:p>
        </w:tc>
        <w:tc>
          <w:tcPr>
            <w:tcW w:type="dxa" w:w="4000"/>
            <w:tcMar>
              <w:top w:w="80" w:type="dxa"/>
              <w:start w:w="120" w:type="dxa"/>
              <w:bottom w:w="80" w:type="dxa"/>
              <w:end w:w="120" w:type="dxa"/>
            </w:tcMar>
            <w:vAlign w:val="center"/>
            <w:shd w:fill="E8EEF5" w:val="clear"/>
          </w:tcPr>
          <w:p>
            <w:pPr>
              <w:spacing w:before="0" w:after="0" w:line="252" w:lineRule="auto"/>
              <w:jc w:val="left"/>
            </w:pPr>
            <w:r/>
            <w:r>
              <w:rPr>
                <w:rFonts w:ascii="Calibri" w:hAnsi="Calibri" w:eastAsia="Calibri"/>
                <w:b/>
                <w:color w:val="123047"/>
                <w:sz w:val="18"/>
              </w:rPr>
              <w:t>Examples</w:t>
            </w:r>
          </w:p>
        </w:tc>
        <w:tc>
          <w:tcPr>
            <w:tcW w:type="dxa" w:w="3660"/>
            <w:tcMar>
              <w:top w:w="80" w:type="dxa"/>
              <w:start w:w="120" w:type="dxa"/>
              <w:bottom w:w="80" w:type="dxa"/>
              <w:end w:w="120" w:type="dxa"/>
            </w:tcMar>
            <w:vAlign w:val="center"/>
            <w:shd w:fill="E8EEF5" w:val="clear"/>
          </w:tcPr>
          <w:p>
            <w:pPr>
              <w:spacing w:before="0" w:after="0" w:line="252" w:lineRule="auto"/>
              <w:jc w:val="left"/>
            </w:pPr>
            <w:r/>
            <w:r>
              <w:rPr>
                <w:rFonts w:ascii="Calibri" w:hAnsi="Calibri" w:eastAsia="Calibri"/>
                <w:b/>
                <w:color w:val="123047"/>
                <w:sz w:val="18"/>
              </w:rPr>
              <w:t>Default</w:t>
            </w:r>
          </w:p>
        </w:tc>
      </w:tr>
      <w:tr>
        <w:trPr>
          <w:cantSplit/>
        </w:trPr>
        <w:tc>
          <w:tcPr>
            <w:tcW w:type="dxa" w:w="170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Public</w:t>
            </w:r>
          </w:p>
        </w:tc>
        <w:tc>
          <w:tcPr>
            <w:tcW w:type="dxa" w:w="400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Published guidelines, articles, public profile</w:t>
            </w:r>
          </w:p>
        </w:tc>
        <w:tc>
          <w:tcPr>
            <w:tcW w:type="dxa" w:w="366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Use intentionally; verify source and date.</w:t>
            </w:r>
          </w:p>
        </w:tc>
      </w:tr>
      <w:tr>
        <w:trPr>
          <w:cantSplit/>
        </w:trPr>
        <w:tc>
          <w:tcPr>
            <w:tcW w:type="dxa" w:w="170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Personal</w:t>
            </w:r>
          </w:p>
        </w:tc>
        <w:tc>
          <w:tcPr>
            <w:tcW w:type="dxa" w:w="400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Goals, routines, preferences, chosen calendar information</w:t>
            </w:r>
          </w:p>
        </w:tc>
        <w:tc>
          <w:tcPr>
            <w:tcW w:type="dxa" w:w="366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Private; ask before remembering.</w:t>
            </w:r>
          </w:p>
        </w:tc>
      </w:tr>
      <w:tr>
        <w:trPr>
          <w:cantSplit/>
        </w:trPr>
        <w:tc>
          <w:tcPr>
            <w:tcW w:type="dxa" w:w="170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Sensitive personal or business</w:t>
            </w:r>
          </w:p>
        </w:tc>
        <w:tc>
          <w:tcPr>
            <w:tcW w:type="dxa" w:w="400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Health, family, finance, contract, conflict, venture information</w:t>
            </w:r>
          </w:p>
        </w:tc>
        <w:tc>
          <w:tcPr>
            <w:tcW w:type="dxa" w:w="366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Minimal, session-only, or secure approved context.</w:t>
            </w:r>
          </w:p>
        </w:tc>
      </w:tr>
      <w:tr>
        <w:trPr>
          <w:cantSplit/>
        </w:trPr>
        <w:tc>
          <w:tcPr>
            <w:tcW w:type="dxa" w:w="170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Employer-confidential or regulated</w:t>
            </w:r>
          </w:p>
        </w:tc>
        <w:tc>
          <w:tcPr>
            <w:tcW w:type="dxa" w:w="400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Internal reports, personnel, peer review, patient information</w:t>
            </w:r>
          </w:p>
        </w:tc>
        <w:tc>
          <w:tcPr>
            <w:tcW w:type="dxa" w:w="366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Keep out unless exact authorized system and policy permit.</w:t>
            </w:r>
          </w:p>
        </w:tc>
      </w:tr>
      <w:tr>
        <w:trPr>
          <w:cantSplit/>
        </w:trPr>
        <w:tc>
          <w:tcPr>
            <w:tcW w:type="dxa" w:w="170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Secrets</w:t>
            </w:r>
          </w:p>
        </w:tc>
        <w:tc>
          <w:tcPr>
            <w:tcW w:type="dxa" w:w="400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Passwords, tokens, private keys, signatures, controlled-substance credentials</w:t>
            </w:r>
          </w:p>
        </w:tc>
        <w:tc>
          <w:tcPr>
            <w:tcW w:type="dxa" w:w="366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Never enter or remember.</w:t>
            </w:r>
          </w:p>
        </w:tc>
      </w:tr>
    </w:tbl>
    <w:p>
      <w:pPr>
        <w:spacing w:before="0" w:after="40"/>
      </w:pPr>
    </w:p>
    <w:p>
      <w:pPr>
        <w:pStyle w:val="Heading1"/>
        <w:keepNext/>
      </w:pPr>
      <w:r>
        <w:t>First-run wizard</w:t>
      </w:r>
    </w:p>
    <w:p>
      <w:pPr>
        <w:pStyle w:val="Heading2"/>
        <w:keepNext/>
      </w:pPr>
      <w:r>
        <w:t>1. Choose the environment</w:t>
      </w:r>
    </w:p>
    <w:p>
      <w:pPr/>
      <w:r>
        <w:rPr>
          <w:rFonts w:ascii="Calibri" w:hAnsi="Calibri" w:eastAsia="Calibri"/>
          <w:i w:val="0"/>
          <w:color w:val="1F2937"/>
          <w:sz w:val="22"/>
        </w:rPr>
        <w:t>Begin with a Personal, no-PHI workspace. If an organization-approved professional workspace also exists, keep the profiles, data, permissions, and memory separate.</w:t>
      </w:r>
    </w:p>
    <w:p>
      <w:pPr>
        <w:pStyle w:val="Heading2"/>
        <w:keepNext/>
      </w:pPr>
      <w:r>
        <w:t>2. Describe only useful context</w:t>
      </w:r>
    </w:p>
    <w:p>
      <w:pPr/>
      <w:r>
        <w:rPr>
          <w:rFonts w:ascii="Calibri" w:hAnsi="Calibri" w:eastAsia="Calibri"/>
          <w:i w:val="0"/>
          <w:color w:val="1F2937"/>
          <w:sz w:val="22"/>
        </w:rPr>
        <w:t>Enter broad population focus, setting, career stage, schedule pattern, nonclinical roles, current season, goals, communication preferences, accessibility needs, and quiet hours.</w:t>
      </w:r>
    </w:p>
    <w:p>
      <w:pPr>
        <w:pStyle w:val="Heading2"/>
        <w:keepNext/>
      </w:pPr>
      <w:r>
        <w:t>3. Define the two-lane North Star</w:t>
      </w:r>
    </w:p>
    <w:p>
      <w:pPr/>
      <w:r>
        <w:rPr>
          <w:rFonts w:ascii="Calibri" w:hAnsi="Calibri" w:eastAsia="Calibri"/>
          <w:i w:val="0"/>
          <w:color w:val="1F2937"/>
          <w:sz w:val="22"/>
        </w:rPr>
        <w:t>Ask Hermes one question at a time. Create a mission, values-in-action, three possible 90-day outcomes, protected roles, non-negotiables, and a not-now list.</w:t>
      </w:r>
    </w:p>
    <w:p>
      <w:pPr>
        <w:pStyle w:val="Heading2"/>
        <w:keepNext/>
      </w:pPr>
      <w:r>
        <w:t>4. Set memory boundaries</w:t>
      </w:r>
    </w:p>
    <w:p>
      <w:pPr/>
      <w:r>
        <w:rPr>
          <w:rFonts w:ascii="Calibri" w:hAnsi="Calibri" w:eastAsia="Calibri"/>
          <w:i w:val="0"/>
          <w:color w:val="1F2937"/>
          <w:sz w:val="22"/>
        </w:rPr>
        <w:t>Approve stable low-sensitivity information only. Mark sensitive professional, family, health, finance, contract, and transition information session-only by default.</w:t>
      </w:r>
    </w:p>
    <w:p>
      <w:pPr>
        <w:pStyle w:val="Heading2"/>
        <w:keepNext/>
      </w:pPr>
      <w:r>
        <w:t>5. Set permissions</w:t>
      </w:r>
    </w:p>
    <w:p>
      <w:pPr/>
      <w:r>
        <w:rPr>
          <w:rFonts w:ascii="Calibri" w:hAnsi="Calibri" w:eastAsia="Calibri"/>
          <w:i w:val="0"/>
          <w:color w:val="1F2937"/>
          <w:sz w:val="22"/>
        </w:rPr>
        <w:t>Use read-only access where possible. Keep external publishing, purchasing, clinical, prescribing, billing, credentialing, and patient-message actions off.</w:t>
      </w:r>
    </w:p>
    <w:p>
      <w:pPr>
        <w:pStyle w:val="Heading2"/>
        <w:keepNext/>
      </w:pPr>
      <w:r>
        <w:t>6. Select four launchers</w:t>
      </w:r>
    </w:p>
    <w:p>
      <w:pPr/>
      <w:r>
        <w:rPr>
          <w:rFonts w:ascii="Calibri" w:hAnsi="Calibri" w:eastAsia="Calibri"/>
          <w:i w:val="0"/>
          <w:color w:val="1F2937"/>
          <w:sz w:val="22"/>
        </w:rPr>
        <w:t>Begin with Plan My Whole Day, Think &amp; Verify, Credential Radar, and Make This Human.</w:t>
      </w:r>
    </w:p>
    <w:p>
      <w:pPr>
        <w:pStyle w:val="Heading2"/>
        <w:keepNext/>
      </w:pPr>
      <w:r>
        <w:t>7. Run a harmless test</w:t>
      </w:r>
    </w:p>
    <w:p>
      <w:pPr/>
      <w:r>
        <w:rPr>
          <w:rFonts w:ascii="Calibri" w:hAnsi="Calibri" w:eastAsia="Calibri"/>
          <w:i w:val="0"/>
          <w:color w:val="1F2937"/>
          <w:sz w:val="22"/>
        </w:rPr>
        <w:t>Use a public topic or private planning task. Review assumptions, source status, preview, and receipt before activating anything else.</w:t>
      </w:r>
    </w:p>
    <w:p>
      <w:pPr>
        <w:pStyle w:val="Heading2"/>
        <w:keepNext/>
      </w:pPr>
      <w:r>
        <w:t>Approve your activation card</w:t>
      </w:r>
    </w:p>
    <w:tbl>
      <w:tblPr>
        <w:tblW w:type="dxa" w:w="9360"/>
        <w:tblLayout w:type="fixed"/>
        <w:tblLook w:firstColumn="1" w:firstRow="1" w:lastColumn="0" w:lastRow="0" w:noHBand="0" w:noVBand="1" w:val="04A0"/>
        <w:jc w:val="left"/>
        <w:tblInd w:w="120" w:type="dxa"/>
        <w:tblBorders>
          <w:top w:val="single" w:sz="6" w:space="0" w:color="C9D3DD"/>
          <w:left w:val="single" w:sz="6" w:space="0" w:color="C9D3DD"/>
          <w:bottom w:val="single" w:sz="6" w:space="0" w:color="C9D3DD"/>
          <w:right w:val="single" w:sz="6" w:space="0" w:color="C9D3DD"/>
          <w:insideH w:val="single" w:sz="6" w:space="0" w:color="C9D3DD"/>
          <w:insideV w:val="single" w:sz="6" w:space="0" w:color="C9D3DD"/>
        </w:tblBorders>
      </w:tblPr>
      <w:tblGrid>
        <w:gridCol w:w="2600"/>
        <w:gridCol w:w="6760"/>
      </w:tblGrid>
      <w:tr>
        <w:trPr>
          <w:cantSplit/>
          <w:tblHeader w:val="true"/>
          <w:cantSplit/>
        </w:trPr>
        <w:tc>
          <w:tcPr>
            <w:tcW w:type="dxa" w:w="2600"/>
            <w:tcMar>
              <w:top w:w="80" w:type="dxa"/>
              <w:start w:w="120" w:type="dxa"/>
              <w:bottom w:w="80" w:type="dxa"/>
              <w:end w:w="120" w:type="dxa"/>
            </w:tcMar>
            <w:vAlign w:val="center"/>
            <w:shd w:fill="E8EEF5" w:val="clear"/>
          </w:tcPr>
          <w:p>
            <w:pPr>
              <w:spacing w:before="0" w:after="0" w:line="252" w:lineRule="auto"/>
              <w:jc w:val="left"/>
            </w:pPr>
            <w:r/>
            <w:r>
              <w:rPr>
                <w:rFonts w:ascii="Calibri" w:hAnsi="Calibri" w:eastAsia="Calibri"/>
                <w:b/>
                <w:color w:val="123047"/>
                <w:sz w:val="18"/>
              </w:rPr>
              <w:t>Card field</w:t>
            </w:r>
          </w:p>
        </w:tc>
        <w:tc>
          <w:tcPr>
            <w:tcW w:type="dxa" w:w="6760"/>
            <w:tcMar>
              <w:top w:w="80" w:type="dxa"/>
              <w:start w:w="120" w:type="dxa"/>
              <w:bottom w:w="80" w:type="dxa"/>
              <w:end w:w="120" w:type="dxa"/>
            </w:tcMar>
            <w:vAlign w:val="center"/>
            <w:shd w:fill="E8EEF5" w:val="clear"/>
          </w:tcPr>
          <w:p>
            <w:pPr>
              <w:spacing w:before="0" w:after="0" w:line="252" w:lineRule="auto"/>
              <w:jc w:val="left"/>
            </w:pPr>
            <w:r/>
            <w:r>
              <w:rPr>
                <w:rFonts w:ascii="Calibri" w:hAnsi="Calibri" w:eastAsia="Calibri"/>
                <w:b/>
                <w:color w:val="123047"/>
                <w:sz w:val="18"/>
              </w:rPr>
              <w:t>What you approve or edit</w:t>
            </w:r>
          </w:p>
        </w:tc>
      </w:tr>
      <w:tr>
        <w:trPr>
          <w:cantSplit/>
        </w:trPr>
        <w:tc>
          <w:tcPr>
            <w:tcW w:type="dxa" w:w="260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Professional context</w:t>
            </w:r>
          </w:p>
        </w:tc>
        <w:tc>
          <w:tcPr>
            <w:tcW w:type="dxa" w:w="676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Broad NP context only; no patient information</w:t>
            </w:r>
          </w:p>
        </w:tc>
      </w:tr>
      <w:tr>
        <w:trPr>
          <w:cantSplit/>
        </w:trPr>
        <w:tc>
          <w:tcPr>
            <w:tcW w:type="dxa" w:w="260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Season and capacity</w:t>
            </w:r>
          </w:p>
        </w:tc>
        <w:tc>
          <w:tcPr>
            <w:tcW w:type="dxa" w:w="676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Launch, Build, Sustain, Recover, or Transition; Open through Recovery Mode</w:t>
            </w:r>
          </w:p>
        </w:tc>
      </w:tr>
      <w:tr>
        <w:trPr>
          <w:cantSplit/>
        </w:trPr>
        <w:tc>
          <w:tcPr>
            <w:tcW w:type="dxa" w:w="260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90-day outcomes</w:t>
            </w:r>
          </w:p>
        </w:tc>
        <w:tc>
          <w:tcPr>
            <w:tcW w:type="dxa" w:w="676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A small professional set plus one protected-life outcome</w:t>
            </w:r>
          </w:p>
        </w:tc>
      </w:tr>
      <w:tr>
        <w:trPr>
          <w:cantSplit/>
        </w:trPr>
        <w:tc>
          <w:tcPr>
            <w:tcW w:type="dxa" w:w="260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Memory</w:t>
            </w:r>
          </w:p>
        </w:tc>
        <w:tc>
          <w:tcPr>
            <w:tcW w:type="dxa" w:w="676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Approved stable context, session-only context, and never-store categories</w:t>
            </w:r>
          </w:p>
        </w:tc>
      </w:tr>
      <w:tr>
        <w:trPr>
          <w:cantSplit/>
        </w:trPr>
        <w:tc>
          <w:tcPr>
            <w:tcW w:type="dxa" w:w="260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Connections and actions</w:t>
            </w:r>
          </w:p>
        </w:tc>
        <w:tc>
          <w:tcPr>
            <w:tcW w:type="dxa" w:w="676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None connected; external actions off at launch</w:t>
            </w:r>
          </w:p>
        </w:tc>
      </w:tr>
      <w:tr>
        <w:trPr>
          <w:cantSplit/>
        </w:trPr>
        <w:tc>
          <w:tcPr>
            <w:tcW w:type="dxa" w:w="260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Day-one launchers</w:t>
            </w:r>
          </w:p>
        </w:tc>
        <w:tc>
          <w:tcPr>
            <w:tcW w:type="dxa" w:w="676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The Core Four, with no more than five buttons pinned</w:t>
            </w:r>
          </w:p>
        </w:tc>
      </w:tr>
    </w:tbl>
    <w:p>
      <w:pPr>
        <w:spacing w:before="0" w:after="40"/>
      </w:pPr>
    </w:p>
    <w:p>
      <w:pPr>
        <w:spacing w:before="120" w:after="200" w:line="276" w:lineRule="auto"/>
        <w:shd w:fill="EEECF8"/>
        <w:pBdr>
          <w:left w:val="single" w:sz="18" w:space="8" w:color="6255A5"/>
        </w:pBdr>
        <w:ind w:left="180" w:right="120"/>
      </w:pPr>
      <w:r>
        <w:rPr>
          <w:rFonts w:ascii="Calibri" w:hAnsi="Calibri" w:eastAsia="Calibri"/>
          <w:b/>
          <w:color w:val="123047"/>
          <w:sz w:val="22"/>
        </w:rPr>
        <w:t xml:space="preserve">Do not skip this screen: </w:t>
      </w:r>
      <w:r>
        <w:rPr>
          <w:rFonts w:ascii="Calibri" w:hAnsi="Calibri" w:eastAsia="Calibri"/>
          <w:color w:val="1F2937"/>
          <w:sz w:val="22"/>
        </w:rPr>
        <w:t>Hermes must show the activation card and wait for you to approve or edit it before declaring setup complete.</w:t>
      </w:r>
    </w:p>
    <w:p>
      <w:r>
        <w:br w:type="page"/>
      </w:r>
    </w:p>
    <w:p>
      <w:pPr>
        <w:pStyle w:val="Heading1"/>
        <w:keepNext/>
      </w:pPr>
      <w:r>
        <w:t>Your NP Command Center</w:t>
      </w:r>
    </w:p>
    <w:p>
      <w:pPr>
        <w:spacing w:before="0" w:after="240" w:line="288" w:lineRule="auto"/>
      </w:pPr>
      <w:r>
        <w:rPr>
          <w:rFonts w:ascii="Calibri" w:hAnsi="Calibri" w:eastAsia="Calibri"/>
          <w:b/>
          <w:color w:val="123047"/>
          <w:sz w:val="26"/>
        </w:rPr>
        <w:t>The dashboard should show professional readiness and the life supporting it—without becoming a patient list, performance score, or surveillance tool.</w:t>
      </w:r>
    </w:p>
    <w:p>
      <w:pPr>
        <w:spacing w:before="120" w:after="80"/>
        <w:jc w:val="center"/>
      </w:pPr>
      <w:r>
        <w:drawing>
          <wp:inline xmlns:a="http://schemas.openxmlformats.org/drawingml/2006/main" xmlns:pic="http://schemas.openxmlformats.org/drawingml/2006/picture">
            <wp:extent cx="5943600" cy="3830320"/>
            <wp:docPr id="4" name="Picture 4" descr="Illustrative NP dashboard: four day-one launchers, a whole-life plan, credential and evidence watches, human-review queue, Privacy &amp; Permissions, and Pause All." title="Np Dashboard Mockup"/>
            <wp:cNvGraphicFramePr>
              <a:graphicFrameLocks noChangeAspect="1"/>
            </wp:cNvGraphicFramePr>
            <a:graphic>
              <a:graphicData uri="http://schemas.openxmlformats.org/drawingml/2006/picture">
                <pic:pic>
                  <pic:nvPicPr>
                    <pic:cNvPr id="0" name="np-dashboard-mockup.png"/>
                    <pic:cNvPicPr/>
                  </pic:nvPicPr>
                  <pic:blipFill>
                    <a:blip r:embed="rId14"/>
                    <a:stretch>
                      <a:fillRect/>
                    </a:stretch>
                  </pic:blipFill>
                  <pic:spPr>
                    <a:xfrm>
                      <a:off x="0" y="0"/>
                      <a:ext cx="5943600" cy="3830320"/>
                    </a:xfrm>
                    <a:prstGeom prst="rect"/>
                  </pic:spPr>
                </pic:pic>
              </a:graphicData>
            </a:graphic>
          </wp:inline>
        </w:drawing>
      </w:r>
    </w:p>
    <w:p>
      <w:pPr>
        <w:spacing w:before="0" w:after="200"/>
        <w:jc w:val="center"/>
      </w:pPr>
      <w:r>
        <w:rPr>
          <w:rFonts w:ascii="Calibri" w:hAnsi="Calibri" w:eastAsia="Calibri"/>
          <w:i/>
          <w:color w:val="5F6B76"/>
          <w:sz w:val="18"/>
        </w:rPr>
        <w:t>Illustrative NP dashboard: four day-one launchers, a whole-life plan, credential and evidence watches, human-review queue, Privacy &amp; Permissions, and Pause All.</w:t>
      </w:r>
    </w:p>
    <w:p>
      <w:pPr>
        <w:pStyle w:val="Heading1"/>
        <w:keepNext/>
      </w:pPr>
      <w:r>
        <w:t>What the first four buttons do</w:t>
      </w:r>
    </w:p>
    <w:tbl>
      <w:tblPr>
        <w:tblW w:type="dxa" w:w="9360"/>
        <w:tblLayout w:type="fixed"/>
        <w:tblLook w:firstColumn="1" w:firstRow="1" w:lastColumn="0" w:lastRow="0" w:noHBand="0" w:noVBand="1" w:val="04A0"/>
        <w:jc w:val="left"/>
        <w:tblInd w:w="120" w:type="dxa"/>
        <w:tblBorders>
          <w:top w:val="single" w:sz="6" w:space="0" w:color="C9D3DD"/>
          <w:left w:val="single" w:sz="6" w:space="0" w:color="C9D3DD"/>
          <w:bottom w:val="single" w:sz="6" w:space="0" w:color="C9D3DD"/>
          <w:right w:val="single" w:sz="6" w:space="0" w:color="C9D3DD"/>
          <w:insideH w:val="single" w:sz="6" w:space="0" w:color="C9D3DD"/>
          <w:insideV w:val="single" w:sz="6" w:space="0" w:color="C9D3DD"/>
        </w:tblBorders>
      </w:tblPr>
      <w:tblGrid>
        <w:gridCol w:w="1800"/>
        <w:gridCol w:w="4000"/>
        <w:gridCol w:w="3560"/>
      </w:tblGrid>
      <w:tr>
        <w:trPr>
          <w:cantSplit/>
          <w:tblHeader w:val="true"/>
          <w:cantSplit/>
        </w:trPr>
        <w:tc>
          <w:tcPr>
            <w:tcW w:type="dxa" w:w="1800"/>
            <w:tcMar>
              <w:top w:w="80" w:type="dxa"/>
              <w:start w:w="120" w:type="dxa"/>
              <w:bottom w:w="80" w:type="dxa"/>
              <w:end w:w="120" w:type="dxa"/>
            </w:tcMar>
            <w:vAlign w:val="center"/>
            <w:shd w:fill="E8EEF5" w:val="clear"/>
          </w:tcPr>
          <w:p>
            <w:pPr>
              <w:spacing w:before="0" w:after="0" w:line="252" w:lineRule="auto"/>
              <w:jc w:val="left"/>
            </w:pPr>
            <w:r/>
            <w:r>
              <w:rPr>
                <w:rFonts w:ascii="Calibri" w:hAnsi="Calibri" w:eastAsia="Calibri"/>
                <w:b/>
                <w:color w:val="123047"/>
                <w:sz w:val="18"/>
              </w:rPr>
              <w:t>Launcher</w:t>
            </w:r>
          </w:p>
        </w:tc>
        <w:tc>
          <w:tcPr>
            <w:tcW w:type="dxa" w:w="4000"/>
            <w:tcMar>
              <w:top w:w="80" w:type="dxa"/>
              <w:start w:w="120" w:type="dxa"/>
              <w:bottom w:w="80" w:type="dxa"/>
              <w:end w:w="120" w:type="dxa"/>
            </w:tcMar>
            <w:vAlign w:val="center"/>
            <w:shd w:fill="E8EEF5" w:val="clear"/>
          </w:tcPr>
          <w:p>
            <w:pPr>
              <w:spacing w:before="0" w:after="0" w:line="252" w:lineRule="auto"/>
              <w:jc w:val="left"/>
            </w:pPr>
            <w:r/>
            <w:r>
              <w:rPr>
                <w:rFonts w:ascii="Calibri" w:hAnsi="Calibri" w:eastAsia="Calibri"/>
                <w:b/>
                <w:color w:val="123047"/>
                <w:sz w:val="18"/>
              </w:rPr>
              <w:t>You receive</w:t>
            </w:r>
          </w:p>
        </w:tc>
        <w:tc>
          <w:tcPr>
            <w:tcW w:type="dxa" w:w="3560"/>
            <w:tcMar>
              <w:top w:w="80" w:type="dxa"/>
              <w:start w:w="120" w:type="dxa"/>
              <w:bottom w:w="80" w:type="dxa"/>
              <w:end w:w="120" w:type="dxa"/>
            </w:tcMar>
            <w:vAlign w:val="center"/>
            <w:shd w:fill="E8EEF5" w:val="clear"/>
          </w:tcPr>
          <w:p>
            <w:pPr>
              <w:spacing w:before="0" w:after="0" w:line="252" w:lineRule="auto"/>
              <w:jc w:val="left"/>
            </w:pPr>
            <w:r/>
            <w:r>
              <w:rPr>
                <w:rFonts w:ascii="Calibri" w:hAnsi="Calibri" w:eastAsia="Calibri"/>
                <w:b/>
                <w:color w:val="123047"/>
                <w:sz w:val="18"/>
              </w:rPr>
              <w:t>What it will not do silently</w:t>
            </w:r>
          </w:p>
        </w:tc>
      </w:tr>
      <w:tr>
        <w:trPr>
          <w:cantSplit/>
        </w:trPr>
        <w:tc>
          <w:tcPr>
            <w:tcW w:type="dxa" w:w="180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Plan My Whole Day</w:t>
            </w:r>
          </w:p>
        </w:tc>
        <w:tc>
          <w:tcPr>
            <w:tcW w:type="dxa" w:w="400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Top Three, protected life, recovery anchor, buffer, Plan B, and minimum version</w:t>
            </w:r>
          </w:p>
        </w:tc>
        <w:tc>
          <w:tcPr>
            <w:tcW w:type="dxa" w:w="356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Change calendars, accept work, or optimize away recovery</w:t>
            </w:r>
          </w:p>
        </w:tc>
      </w:tr>
      <w:tr>
        <w:trPr>
          <w:cantSplit/>
        </w:trPr>
        <w:tc>
          <w:tcPr>
            <w:tcW w:type="dxa" w:w="180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Think &amp; Verify</w:t>
            </w:r>
          </w:p>
        </w:tc>
        <w:tc>
          <w:tcPr>
            <w:tcW w:type="dxa" w:w="400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Evidence or decision brief with sources, assumptions, conflicts, and unknowns</w:t>
            </w:r>
          </w:p>
        </w:tc>
        <w:tc>
          <w:tcPr>
            <w:tcW w:type="dxa" w:w="356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Make the clinical, legal, credentialing, employment, or financial decision</w:t>
            </w:r>
          </w:p>
        </w:tc>
      </w:tr>
      <w:tr>
        <w:trPr>
          <w:cantSplit/>
        </w:trPr>
        <w:tc>
          <w:tcPr>
            <w:tcW w:type="dxa" w:w="180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Credential Radar</w:t>
            </w:r>
          </w:p>
        </w:tc>
        <w:tc>
          <w:tcPr>
            <w:tcW w:type="dxa" w:w="400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Official-source links, nurse-entered dates, verification and action queue</w:t>
            </w:r>
          </w:p>
        </w:tc>
        <w:tc>
          <w:tcPr>
            <w:tcW w:type="dxa" w:w="356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Renew, attest, pay, submit, or claim active status</w:t>
            </w:r>
          </w:p>
        </w:tc>
      </w:tr>
      <w:tr>
        <w:trPr>
          <w:cantSplit/>
        </w:trPr>
        <w:tc>
          <w:tcPr>
            <w:tcW w:type="dxa" w:w="180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Make This Human</w:t>
            </w:r>
          </w:p>
        </w:tc>
        <w:tc>
          <w:tcPr>
            <w:tcW w:type="dxa" w:w="400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A truthful, specific draft in your voice with claims to verify</w:t>
            </w:r>
          </w:p>
        </w:tc>
        <w:tc>
          <w:tcPr>
            <w:tcW w:type="dxa" w:w="356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Send, publish, invent experience, or evade detection</w:t>
            </w:r>
          </w:p>
        </w:tc>
      </w:tr>
    </w:tbl>
    <w:p>
      <w:pPr>
        <w:spacing w:before="0" w:after="40"/>
      </w:pPr>
    </w:p>
    <w:p>
      <w:pPr>
        <w:spacing w:before="120" w:after="200" w:line="276" w:lineRule="auto"/>
        <w:shd w:fill="EEECF8"/>
        <w:pBdr>
          <w:left w:val="single" w:sz="18" w:space="8" w:color="6255A5"/>
        </w:pBdr>
        <w:ind w:left="180" w:right="120"/>
      </w:pPr>
      <w:r>
        <w:rPr>
          <w:rFonts w:ascii="Calibri" w:hAnsi="Calibri" w:eastAsia="Calibri"/>
          <w:b/>
          <w:color w:val="123047"/>
          <w:sz w:val="22"/>
        </w:rPr>
        <w:t xml:space="preserve">Anti-overwhelm rule: </w:t>
      </w:r>
      <w:r>
        <w:rPr>
          <w:rFonts w:ascii="Calibri" w:hAnsi="Calibri" w:eastAsia="Calibri"/>
          <w:color w:val="1F2937"/>
          <w:sz w:val="22"/>
        </w:rPr>
        <w:t>Pin no more than five launchers. Add no more than one capability per week. Reset to the Core Four whenever the command center feels crowded.</w:t>
      </w:r>
    </w:p>
    <w:p>
      <w:pPr>
        <w:pStyle w:val="Heading2"/>
        <w:keepNext/>
      </w:pPr>
      <w:r>
        <w:t>Before selecting any launcher</w:t>
      </w:r>
    </w:p>
    <w:p>
      <w:pPr>
        <w:keepNext/>
        <w:spacing w:before="0" w:after="80" w:line="300" w:lineRule="auto"/>
        <w:numPr>
          <w:ilvl w:val="0"/>
          <w:numId w:val="13"/>
        </w:numPr>
      </w:pPr>
      <w:r>
        <w:rPr>
          <w:rFonts w:ascii="Calibri" w:hAnsi="Calibri" w:eastAsia="Calibri"/>
          <w:color w:val="1F2937"/>
          <w:sz w:val="22"/>
        </w:rPr>
        <w:t>Read the expected outcome and estimated time.</w:t>
      </w:r>
    </w:p>
    <w:p>
      <w:pPr>
        <w:keepNext/>
        <w:spacing w:before="0" w:after="80" w:line="300" w:lineRule="auto"/>
        <w:numPr>
          <w:ilvl w:val="0"/>
          <w:numId w:val="13"/>
        </w:numPr>
      </w:pPr>
      <w:r>
        <w:rPr>
          <w:rFonts w:ascii="Calibri" w:hAnsi="Calibri" w:eastAsia="Calibri"/>
          <w:color w:val="1F2937"/>
          <w:sz w:val="22"/>
        </w:rPr>
        <w:t>Confirm the mode: Manual, Assist, Preview, Approval-gated, or Monitored.</w:t>
      </w:r>
    </w:p>
    <w:p>
      <w:pPr>
        <w:keepNext/>
        <w:spacing w:before="0" w:after="80" w:line="300" w:lineRule="auto"/>
        <w:numPr>
          <w:ilvl w:val="0"/>
          <w:numId w:val="13"/>
        </w:numPr>
      </w:pPr>
      <w:r>
        <w:rPr>
          <w:rFonts w:ascii="Calibri" w:hAnsi="Calibri" w:eastAsia="Calibri"/>
          <w:color w:val="1F2937"/>
          <w:sz w:val="22"/>
        </w:rPr>
        <w:t>Inspect the information and permissions it can access.</w:t>
      </w:r>
    </w:p>
    <w:p>
      <w:pPr>
        <w:keepNext/>
        <w:spacing w:before="0" w:after="80" w:line="300" w:lineRule="auto"/>
        <w:numPr>
          <w:ilvl w:val="0"/>
          <w:numId w:val="13"/>
        </w:numPr>
      </w:pPr>
      <w:r>
        <w:rPr>
          <w:rFonts w:ascii="Calibri" w:hAnsi="Calibri" w:eastAsia="Calibri"/>
          <w:color w:val="1F2937"/>
          <w:sz w:val="22"/>
        </w:rPr>
        <w:t>Confirm the professional authority, destination, and effect on another person or system.</w:t>
      </w:r>
    </w:p>
    <w:p>
      <w:pPr>
        <w:keepNext/>
        <w:spacing w:before="0" w:after="80" w:line="300" w:lineRule="auto"/>
        <w:numPr>
          <w:ilvl w:val="0"/>
          <w:numId w:val="13"/>
        </w:numPr>
      </w:pPr>
      <w:r>
        <w:rPr>
          <w:rFonts w:ascii="Calibri" w:hAnsi="Calibri" w:eastAsia="Calibri"/>
          <w:color w:val="1F2937"/>
          <w:sz w:val="22"/>
        </w:rPr>
        <w:t>Identify who must review, verify, decide, or approve.</w:t>
      </w:r>
    </w:p>
    <w:p>
      <w:pPr>
        <w:spacing w:before="0" w:after="80" w:line="300" w:lineRule="auto"/>
        <w:numPr>
          <w:ilvl w:val="0"/>
          <w:numId w:val="13"/>
        </w:numPr>
      </w:pPr>
      <w:r>
        <w:rPr>
          <w:rFonts w:ascii="Calibri" w:hAnsi="Calibri" w:eastAsia="Calibri"/>
          <w:color w:val="1F2937"/>
          <w:sz w:val="22"/>
        </w:rPr>
        <w:t>Know how to pause, stop, recover, and inspect the receipt.</w:t>
      </w:r>
    </w:p>
    <w:p>
      <w:pPr>
        <w:pStyle w:val="Heading1"/>
        <w:keepNext/>
      </w:pPr>
      <w:r>
        <w:t>Your seven-day activation</w:t>
      </w:r>
    </w:p>
    <w:p>
      <w:pPr/>
      <w:r>
        <w:rPr>
          <w:rFonts w:ascii="Calibri" w:hAnsi="Calibri" w:eastAsia="Calibri"/>
          <w:i w:val="0"/>
          <w:color w:val="1F2937"/>
          <w:sz w:val="22"/>
        </w:rPr>
        <w:t>Each activity takes about 15–20 minutes. Use public, synthetic, or low-sensitivity information, and keep external actions off.</w:t>
      </w:r>
    </w:p>
    <w:tbl>
      <w:tblPr>
        <w:tblW w:type="dxa" w:w="9360"/>
        <w:tblLayout w:type="fixed"/>
        <w:tblLook w:firstColumn="1" w:firstRow="1" w:lastColumn="0" w:lastRow="0" w:noHBand="0" w:noVBand="1" w:val="04A0"/>
        <w:jc w:val="left"/>
        <w:tblInd w:w="120" w:type="dxa"/>
        <w:tblBorders>
          <w:top w:val="single" w:sz="6" w:space="0" w:color="C9D3DD"/>
          <w:left w:val="single" w:sz="6" w:space="0" w:color="C9D3DD"/>
          <w:bottom w:val="single" w:sz="6" w:space="0" w:color="C9D3DD"/>
          <w:right w:val="single" w:sz="6" w:space="0" w:color="C9D3DD"/>
          <w:insideH w:val="single" w:sz="6" w:space="0" w:color="C9D3DD"/>
          <w:insideV w:val="single" w:sz="6" w:space="0" w:color="C9D3DD"/>
        </w:tblBorders>
      </w:tblPr>
      <w:tblGrid>
        <w:gridCol w:w="700"/>
        <w:gridCol w:w="3150"/>
        <w:gridCol w:w="5510"/>
      </w:tblGrid>
      <w:tr>
        <w:trPr>
          <w:cantSplit/>
          <w:tblHeader w:val="true"/>
          <w:cantSplit/>
        </w:trPr>
        <w:tc>
          <w:tcPr>
            <w:tcW w:type="dxa" w:w="700"/>
            <w:tcMar>
              <w:top w:w="80" w:type="dxa"/>
              <w:start w:w="120" w:type="dxa"/>
              <w:bottom w:w="80" w:type="dxa"/>
              <w:end w:w="120" w:type="dxa"/>
            </w:tcMar>
            <w:vAlign w:val="center"/>
            <w:shd w:fill="E8EEF5" w:val="clear"/>
          </w:tcPr>
          <w:p>
            <w:pPr>
              <w:spacing w:before="0" w:after="0" w:line="252" w:lineRule="auto"/>
              <w:jc w:val="left"/>
            </w:pPr>
            <w:r/>
            <w:r>
              <w:rPr>
                <w:rFonts w:ascii="Calibri" w:hAnsi="Calibri" w:eastAsia="Calibri"/>
                <w:b/>
                <w:color w:val="123047"/>
                <w:sz w:val="18"/>
              </w:rPr>
              <w:t>Day</w:t>
            </w:r>
          </w:p>
        </w:tc>
        <w:tc>
          <w:tcPr>
            <w:tcW w:type="dxa" w:w="3150"/>
            <w:tcMar>
              <w:top w:w="80" w:type="dxa"/>
              <w:start w:w="120" w:type="dxa"/>
              <w:bottom w:w="80" w:type="dxa"/>
              <w:end w:w="120" w:type="dxa"/>
            </w:tcMar>
            <w:vAlign w:val="center"/>
            <w:shd w:fill="E8EEF5" w:val="clear"/>
          </w:tcPr>
          <w:p>
            <w:pPr>
              <w:spacing w:before="0" w:after="0" w:line="252" w:lineRule="auto"/>
              <w:jc w:val="left"/>
            </w:pPr>
            <w:r/>
            <w:r>
              <w:rPr>
                <w:rFonts w:ascii="Calibri" w:hAnsi="Calibri" w:eastAsia="Calibri"/>
                <w:b/>
                <w:color w:val="123047"/>
                <w:sz w:val="18"/>
              </w:rPr>
              <w:t>Activity</w:t>
            </w:r>
          </w:p>
        </w:tc>
        <w:tc>
          <w:tcPr>
            <w:tcW w:type="dxa" w:w="5510"/>
            <w:tcMar>
              <w:top w:w="80" w:type="dxa"/>
              <w:start w:w="120" w:type="dxa"/>
              <w:bottom w:w="80" w:type="dxa"/>
              <w:end w:w="120" w:type="dxa"/>
            </w:tcMar>
            <w:vAlign w:val="center"/>
            <w:shd w:fill="E8EEF5" w:val="clear"/>
          </w:tcPr>
          <w:p>
            <w:pPr>
              <w:spacing w:before="0" w:after="0" w:line="252" w:lineRule="auto"/>
              <w:jc w:val="left"/>
            </w:pPr>
            <w:r/>
            <w:r>
              <w:rPr>
                <w:rFonts w:ascii="Calibri" w:hAnsi="Calibri" w:eastAsia="Calibri"/>
                <w:b/>
                <w:color w:val="123047"/>
                <w:sz w:val="18"/>
              </w:rPr>
              <w:t>Result</w:t>
            </w:r>
          </w:p>
        </w:tc>
      </w:tr>
      <w:tr>
        <w:trPr>
          <w:cantSplit/>
        </w:trPr>
        <w:tc>
          <w:tcPr>
            <w:tcW w:type="dxa" w:w="70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1</w:t>
            </w:r>
          </w:p>
        </w:tc>
        <w:tc>
          <w:tcPr>
            <w:tcW w:type="dxa" w:w="315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Define the whole person</w:t>
            </w:r>
          </w:p>
        </w:tc>
        <w:tc>
          <w:tcPr>
            <w:tcW w:type="dxa" w:w="551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Seasonal mission, identity constellation, 90-day outcomes, protected-life list, not-now list</w:t>
            </w:r>
          </w:p>
        </w:tc>
      </w:tr>
      <w:tr>
        <w:trPr>
          <w:cantSplit/>
        </w:trPr>
        <w:tc>
          <w:tcPr>
            <w:tcW w:type="dxa" w:w="70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2</w:t>
            </w:r>
          </w:p>
        </w:tc>
        <w:tc>
          <w:tcPr>
            <w:tcW w:type="dxa" w:w="315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See the real load</w:t>
            </w:r>
          </w:p>
        </w:tc>
        <w:tc>
          <w:tcPr>
            <w:tcW w:type="dxa" w:w="551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Visible and invisible role map; one keep/change/release decision</w:t>
            </w:r>
          </w:p>
        </w:tc>
      </w:tr>
      <w:tr>
        <w:trPr>
          <w:cantSplit/>
        </w:trPr>
        <w:tc>
          <w:tcPr>
            <w:tcW w:type="dxa" w:w="70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3</w:t>
            </w:r>
          </w:p>
        </w:tc>
        <w:tc>
          <w:tcPr>
            <w:tcW w:type="dxa" w:w="315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Build a week that can survive</w:t>
            </w:r>
          </w:p>
        </w:tc>
        <w:tc>
          <w:tcPr>
            <w:tcW w:type="dxa" w:w="551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Full, Standard, Minimum, and Re-entry plans with buffer</w:t>
            </w:r>
          </w:p>
        </w:tc>
      </w:tr>
      <w:tr>
        <w:trPr>
          <w:cantSplit/>
        </w:trPr>
        <w:tc>
          <w:tcPr>
            <w:tcW w:type="dxa" w:w="70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4</w:t>
            </w:r>
          </w:p>
        </w:tc>
        <w:tc>
          <w:tcPr>
            <w:tcW w:type="dxa" w:w="315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Prepare one necessary boundary</w:t>
            </w:r>
          </w:p>
        </w:tc>
        <w:tc>
          <w:tcPr>
            <w:tcW w:type="dxa" w:w="551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Direct, collaborative, and one-sentence conversation versions</w:t>
            </w:r>
          </w:p>
        </w:tc>
      </w:tr>
      <w:tr>
        <w:trPr>
          <w:cantSplit/>
        </w:trPr>
        <w:tc>
          <w:tcPr>
            <w:tcW w:type="dxa" w:w="70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5</w:t>
            </w:r>
          </w:p>
        </w:tc>
        <w:tc>
          <w:tcPr>
            <w:tcW w:type="dxa" w:w="315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Invest in career capital</w:t>
            </w:r>
          </w:p>
        </w:tc>
        <w:tc>
          <w:tcPr>
            <w:tcW w:type="dxa" w:w="551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One verified skill, learning sprint, portfolio artifact, or mentor question</w:t>
            </w:r>
          </w:p>
        </w:tc>
      </w:tr>
      <w:tr>
        <w:trPr>
          <w:cantSplit/>
        </w:trPr>
        <w:tc>
          <w:tcPr>
            <w:tcW w:type="dxa" w:w="70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6</w:t>
            </w:r>
          </w:p>
        </w:tc>
        <w:tc>
          <w:tcPr>
            <w:tcW w:type="dxa" w:w="315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Reduce life administration</w:t>
            </w:r>
          </w:p>
        </w:tc>
        <w:tc>
          <w:tcPr>
            <w:tcW w:type="dxa" w:w="551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Sanitized checklist and questions for the right professional</w:t>
            </w:r>
          </w:p>
        </w:tc>
      </w:tr>
      <w:tr>
        <w:trPr>
          <w:cantSplit/>
        </w:trPr>
        <w:tc>
          <w:tcPr>
            <w:tcW w:type="dxa" w:w="70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7</w:t>
            </w:r>
          </w:p>
        </w:tc>
        <w:tc>
          <w:tcPr>
            <w:tcW w:type="dxa" w:w="315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Design the next season</w:t>
            </w:r>
          </w:p>
        </w:tc>
        <w:tc>
          <w:tcPr>
            <w:tcW w:type="dxa" w:w="551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Continue, customize, verify, pause, release, forget, and next 30-day decisions</w:t>
            </w:r>
          </w:p>
        </w:tc>
      </w:tr>
    </w:tbl>
    <w:p>
      <w:pPr>
        <w:spacing w:before="0" w:after="40"/>
      </w:pPr>
    </w:p>
    <w:p>
      <w:pPr>
        <w:spacing w:before="120" w:after="200" w:line="276" w:lineRule="auto"/>
        <w:shd w:fill="FFF4D6"/>
        <w:pBdr>
          <w:left w:val="single" w:sz="18" w:space="8" w:color="B78316"/>
        </w:pBdr>
        <w:ind w:left="180" w:right="120"/>
      </w:pPr>
      <w:r>
        <w:rPr>
          <w:rFonts w:ascii="Calibri" w:hAnsi="Calibri" w:eastAsia="Calibri"/>
          <w:b/>
          <w:color w:val="123047"/>
          <w:sz w:val="22"/>
        </w:rPr>
        <w:t xml:space="preserve">Day-seven rule: </w:t>
      </w:r>
      <w:r>
        <w:rPr>
          <w:rFonts w:ascii="Calibri" w:hAnsi="Calibri" w:eastAsia="Calibri"/>
          <w:color w:val="1F2937"/>
          <w:sz w:val="22"/>
        </w:rPr>
        <w:t>Do not enable unattended automation in the first week. Add no more than one new capability after reviewing value, burden, privacy, and trust.</w:t>
      </w:r>
    </w:p>
    <w:p>
      <w:r>
        <w:br w:type="page"/>
      </w:r>
    </w:p>
    <w:p>
      <w:pPr>
        <w:pStyle w:val="Heading1"/>
        <w:keepNext/>
      </w:pPr>
      <w:r>
        <w:t>Daily, weekly, monthly, and seasonal rhythms</w:t>
      </w:r>
    </w:p>
    <w:tbl>
      <w:tblPr>
        <w:tblW w:type="dxa" w:w="9360"/>
        <w:tblLayout w:type="fixed"/>
        <w:tblLook w:firstColumn="1" w:firstRow="1" w:lastColumn="0" w:lastRow="0" w:noHBand="0" w:noVBand="1" w:val="04A0"/>
        <w:jc w:val="left"/>
        <w:tblInd w:w="120" w:type="dxa"/>
        <w:tblBorders>
          <w:top w:val="single" w:sz="6" w:space="0" w:color="C9D3DD"/>
          <w:left w:val="single" w:sz="6" w:space="0" w:color="C9D3DD"/>
          <w:bottom w:val="single" w:sz="6" w:space="0" w:color="C9D3DD"/>
          <w:right w:val="single" w:sz="6" w:space="0" w:color="C9D3DD"/>
          <w:insideH w:val="single" w:sz="6" w:space="0" w:color="C9D3DD"/>
          <w:insideV w:val="single" w:sz="6" w:space="0" w:color="C9D3DD"/>
        </w:tblBorders>
      </w:tblPr>
      <w:tblGrid>
        <w:gridCol w:w="2000"/>
        <w:gridCol w:w="7360"/>
      </w:tblGrid>
      <w:tr>
        <w:trPr>
          <w:cantSplit/>
          <w:tblHeader w:val="true"/>
          <w:cantSplit/>
        </w:trPr>
        <w:tc>
          <w:tcPr>
            <w:tcW w:type="dxa" w:w="2000"/>
            <w:tcMar>
              <w:top w:w="80" w:type="dxa"/>
              <w:start w:w="120" w:type="dxa"/>
              <w:bottom w:w="80" w:type="dxa"/>
              <w:end w:w="120" w:type="dxa"/>
            </w:tcMar>
            <w:vAlign w:val="center"/>
            <w:shd w:fill="E8EEF5" w:val="clear"/>
          </w:tcPr>
          <w:p>
            <w:pPr>
              <w:spacing w:before="0" w:after="0" w:line="252" w:lineRule="auto"/>
              <w:jc w:val="left"/>
            </w:pPr>
            <w:r/>
            <w:r>
              <w:rPr>
                <w:rFonts w:ascii="Calibri" w:hAnsi="Calibri" w:eastAsia="Calibri"/>
                <w:b/>
                <w:color w:val="123047"/>
                <w:sz w:val="18"/>
              </w:rPr>
              <w:t>Rhythm</w:t>
            </w:r>
          </w:p>
        </w:tc>
        <w:tc>
          <w:tcPr>
            <w:tcW w:type="dxa" w:w="7360"/>
            <w:tcMar>
              <w:top w:w="80" w:type="dxa"/>
              <w:start w:w="120" w:type="dxa"/>
              <w:bottom w:w="80" w:type="dxa"/>
              <w:end w:w="120" w:type="dxa"/>
            </w:tcMar>
            <w:vAlign w:val="center"/>
            <w:shd w:fill="E8EEF5" w:val="clear"/>
          </w:tcPr>
          <w:p>
            <w:pPr>
              <w:spacing w:before="0" w:after="0" w:line="252" w:lineRule="auto"/>
              <w:jc w:val="left"/>
            </w:pPr>
            <w:r/>
            <w:r>
              <w:rPr>
                <w:rFonts w:ascii="Calibri" w:hAnsi="Calibri" w:eastAsia="Calibri"/>
                <w:b/>
                <w:color w:val="123047"/>
                <w:sz w:val="18"/>
              </w:rPr>
              <w:t>Review</w:t>
            </w:r>
          </w:p>
        </w:tc>
      </w:tr>
      <w:tr>
        <w:trPr>
          <w:cantSplit/>
        </w:trPr>
        <w:tc>
          <w:tcPr>
            <w:tcW w:type="dxa" w:w="200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Opening — 5 minutes</w:t>
            </w:r>
          </w:p>
        </w:tc>
        <w:tc>
          <w:tcPr>
            <w:tcW w:type="dxa" w:w="736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Season, capacity, Top Three, one protected-life action, buffer, human review, and Preview status</w:t>
            </w:r>
          </w:p>
        </w:tc>
      </w:tr>
      <w:tr>
        <w:trPr>
          <w:cantSplit/>
        </w:trPr>
        <w:tc>
          <w:tcPr>
            <w:tcW w:type="dxa" w:w="200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End of work — 5 minutes</w:t>
            </w:r>
          </w:p>
        </w:tc>
        <w:tc>
          <w:tcPr>
            <w:tcW w:type="dxa" w:w="736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Nonpatient open loops, authorized-system items, one generic learning question, recovery transition, and intentional stop</w:t>
            </w:r>
          </w:p>
        </w:tc>
      </w:tr>
      <w:tr>
        <w:trPr>
          <w:cantSplit/>
        </w:trPr>
        <w:tc>
          <w:tcPr>
            <w:tcW w:type="dxa" w:w="200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Weekly — 20 minutes</w:t>
            </w:r>
          </w:p>
        </w:tc>
        <w:tc>
          <w:tcPr>
            <w:tcW w:type="dxa" w:w="736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Practice, credentials, evidence, learning, career, leadership, family, recovery, finances, memory, permissions, and one improvement</w:t>
            </w:r>
          </w:p>
        </w:tc>
      </w:tr>
      <w:tr>
        <w:trPr>
          <w:cantSplit/>
        </w:trPr>
        <w:tc>
          <w:tcPr>
            <w:tcW w:type="dxa" w:w="200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Monthly — 30–45 minutes</w:t>
            </w:r>
          </w:p>
        </w:tc>
        <w:tc>
          <w:tcPr>
            <w:tcW w:type="dxa" w:w="736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Role load, portfolio, projects, source freshness, whole-life direction, automation receipts, and capabilities to remove</w:t>
            </w:r>
          </w:p>
        </w:tc>
      </w:tr>
      <w:tr>
        <w:trPr>
          <w:cantSplit/>
        </w:trPr>
        <w:tc>
          <w:tcPr>
            <w:tcW w:type="dxa" w:w="200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Quarterly — 60 minutes</w:t>
            </w:r>
          </w:p>
        </w:tc>
        <w:tc>
          <w:tcPr>
            <w:tcW w:type="dxa" w:w="736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Mission, 90-day outcomes, official professional requirements, authority map, current life season, and program review</w:t>
            </w:r>
          </w:p>
        </w:tc>
      </w:tr>
    </w:tbl>
    <w:p>
      <w:pPr>
        <w:spacing w:before="0" w:after="40"/>
      </w:pPr>
    </w:p>
    <w:p>
      <w:pPr>
        <w:pStyle w:val="Heading2"/>
        <w:keepNext/>
      </w:pPr>
      <w:r>
        <w:t>Four plan modes</w:t>
      </w:r>
    </w:p>
    <w:tbl>
      <w:tblPr>
        <w:tblW w:type="dxa" w:w="9360"/>
        <w:tblLayout w:type="fixed"/>
        <w:tblLook w:firstColumn="1" w:firstRow="1" w:lastColumn="0" w:lastRow="0" w:noHBand="0" w:noVBand="1" w:val="04A0"/>
        <w:jc w:val="left"/>
        <w:tblInd w:w="120" w:type="dxa"/>
        <w:tblBorders>
          <w:top w:val="single" w:sz="6" w:space="0" w:color="C9D3DD"/>
          <w:left w:val="single" w:sz="6" w:space="0" w:color="C9D3DD"/>
          <w:bottom w:val="single" w:sz="6" w:space="0" w:color="C9D3DD"/>
          <w:right w:val="single" w:sz="6" w:space="0" w:color="C9D3DD"/>
          <w:insideH w:val="single" w:sz="6" w:space="0" w:color="C9D3DD"/>
          <w:insideV w:val="single" w:sz="6" w:space="0" w:color="C9D3DD"/>
        </w:tblBorders>
      </w:tblPr>
      <w:tblGrid>
        <w:gridCol w:w="1500"/>
        <w:gridCol w:w="3000"/>
        <w:gridCol w:w="4860"/>
      </w:tblGrid>
      <w:tr>
        <w:trPr>
          <w:cantSplit/>
          <w:tblHeader w:val="true"/>
          <w:cantSplit/>
        </w:trPr>
        <w:tc>
          <w:tcPr>
            <w:tcW w:type="dxa" w:w="1500"/>
            <w:tcMar>
              <w:top w:w="80" w:type="dxa"/>
              <w:start w:w="120" w:type="dxa"/>
              <w:bottom w:w="80" w:type="dxa"/>
              <w:end w:w="120" w:type="dxa"/>
            </w:tcMar>
            <w:vAlign w:val="center"/>
            <w:shd w:fill="E8EEF5" w:val="clear"/>
          </w:tcPr>
          <w:p>
            <w:pPr>
              <w:spacing w:before="0" w:after="0" w:line="252" w:lineRule="auto"/>
              <w:jc w:val="left"/>
            </w:pPr>
            <w:r/>
            <w:r>
              <w:rPr>
                <w:rFonts w:ascii="Calibri" w:hAnsi="Calibri" w:eastAsia="Calibri"/>
                <w:b/>
                <w:color w:val="123047"/>
                <w:sz w:val="18"/>
              </w:rPr>
              <w:t>Mode</w:t>
            </w:r>
          </w:p>
        </w:tc>
        <w:tc>
          <w:tcPr>
            <w:tcW w:type="dxa" w:w="3000"/>
            <w:tcMar>
              <w:top w:w="80" w:type="dxa"/>
              <w:start w:w="120" w:type="dxa"/>
              <w:bottom w:w="80" w:type="dxa"/>
              <w:end w:w="120" w:type="dxa"/>
            </w:tcMar>
            <w:vAlign w:val="center"/>
            <w:shd w:fill="E8EEF5" w:val="clear"/>
          </w:tcPr>
          <w:p>
            <w:pPr>
              <w:spacing w:before="0" w:after="0" w:line="252" w:lineRule="auto"/>
              <w:jc w:val="left"/>
            </w:pPr>
            <w:r/>
            <w:r>
              <w:rPr>
                <w:rFonts w:ascii="Calibri" w:hAnsi="Calibri" w:eastAsia="Calibri"/>
                <w:b/>
                <w:color w:val="123047"/>
                <w:sz w:val="18"/>
              </w:rPr>
              <w:t>Use when</w:t>
            </w:r>
          </w:p>
        </w:tc>
        <w:tc>
          <w:tcPr>
            <w:tcW w:type="dxa" w:w="4860"/>
            <w:tcMar>
              <w:top w:w="80" w:type="dxa"/>
              <w:start w:w="120" w:type="dxa"/>
              <w:bottom w:w="80" w:type="dxa"/>
              <w:end w:w="120" w:type="dxa"/>
            </w:tcMar>
            <w:vAlign w:val="center"/>
            <w:shd w:fill="E8EEF5" w:val="clear"/>
          </w:tcPr>
          <w:p>
            <w:pPr>
              <w:spacing w:before="0" w:after="0" w:line="252" w:lineRule="auto"/>
              <w:jc w:val="left"/>
            </w:pPr>
            <w:r/>
            <w:r>
              <w:rPr>
                <w:rFonts w:ascii="Calibri" w:hAnsi="Calibri" w:eastAsia="Calibri"/>
                <w:b/>
                <w:color w:val="123047"/>
                <w:sz w:val="18"/>
              </w:rPr>
              <w:t>System behavior</w:t>
            </w:r>
          </w:p>
        </w:tc>
      </w:tr>
      <w:tr>
        <w:trPr>
          <w:cantSplit/>
        </w:trPr>
        <w:tc>
          <w:tcPr>
            <w:tcW w:type="dxa" w:w="150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Full</w:t>
            </w:r>
          </w:p>
        </w:tc>
        <w:tc>
          <w:tcPr>
            <w:tcW w:type="dxa" w:w="300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Capacity and support are genuinely available</w:t>
            </w:r>
          </w:p>
        </w:tc>
        <w:tc>
          <w:tcPr>
            <w:tcW w:type="dxa" w:w="486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Professional, personal, and growth goals may all progress with buffer.</w:t>
            </w:r>
          </w:p>
        </w:tc>
      </w:tr>
      <w:tr>
        <w:trPr>
          <w:cantSplit/>
        </w:trPr>
        <w:tc>
          <w:tcPr>
            <w:tcW w:type="dxa" w:w="150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Standard</w:t>
            </w:r>
          </w:p>
        </w:tc>
        <w:tc>
          <w:tcPr>
            <w:tcW w:type="dxa" w:w="300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Normal competing demands</w:t>
            </w:r>
          </w:p>
        </w:tc>
        <w:tc>
          <w:tcPr>
            <w:tcW w:type="dxa" w:w="486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One professional step, one personal priority, and protected recovery.</w:t>
            </w:r>
          </w:p>
        </w:tc>
      </w:tr>
      <w:tr>
        <w:trPr>
          <w:cantSplit/>
        </w:trPr>
        <w:tc>
          <w:tcPr>
            <w:tcW w:type="dxa" w:w="150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Minimum</w:t>
            </w:r>
          </w:p>
        </w:tc>
        <w:tc>
          <w:tcPr>
            <w:tcW w:type="dxa" w:w="300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Capacity is tight</w:t>
            </w:r>
          </w:p>
        </w:tc>
        <w:tc>
          <w:tcPr>
            <w:tcW w:type="dxa" w:w="486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Essentials, one stabilizing personal action, no new commitments.</w:t>
            </w:r>
          </w:p>
        </w:tc>
      </w:tr>
      <w:tr>
        <w:trPr>
          <w:cantSplit/>
        </w:trPr>
        <w:tc>
          <w:tcPr>
            <w:tcW w:type="dxa" w:w="150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Re-entry</w:t>
            </w:r>
          </w:p>
        </w:tc>
        <w:tc>
          <w:tcPr>
            <w:tcW w:type="dxa" w:w="300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After call, illness, leave, travel, overload, or disruption</w:t>
            </w:r>
          </w:p>
        </w:tc>
        <w:tc>
          <w:tcPr>
            <w:tcW w:type="dxa" w:w="486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Restart gradually; no failure language or artificial catch-up sprint.</w:t>
            </w:r>
          </w:p>
        </w:tc>
      </w:tr>
    </w:tbl>
    <w:p>
      <w:pPr>
        <w:spacing w:before="0" w:after="40"/>
      </w:pPr>
    </w:p>
    <w:p>
      <w:pPr>
        <w:spacing w:before="120" w:after="200" w:line="276" w:lineRule="auto"/>
        <w:shd w:fill="F8E8E7"/>
        <w:pBdr>
          <w:left w:val="single" w:sz="18" w:space="8" w:color="B95756"/>
        </w:pBdr>
        <w:ind w:left="180" w:right="120"/>
      </w:pPr>
      <w:r>
        <w:rPr>
          <w:rFonts w:ascii="Calibri" w:hAnsi="Calibri" w:eastAsia="Calibri"/>
          <w:b/>
          <w:color w:val="123047"/>
          <w:sz w:val="22"/>
        </w:rPr>
        <w:t xml:space="preserve">Capacity is not character: </w:t>
      </w:r>
      <w:r>
        <w:rPr>
          <w:rFonts w:ascii="Calibri" w:hAnsi="Calibri" w:eastAsia="Calibri"/>
          <w:color w:val="1F2937"/>
          <w:sz w:val="22"/>
        </w:rPr>
        <w:t>Tight capacity activates a smaller plan. It does not trigger shame, more reminders, or a demand to prove commitment.</w:t>
      </w:r>
    </w:p>
    <w:p>
      <w:pPr>
        <w:pStyle w:val="Heading1"/>
        <w:keepNext/>
      </w:pPr>
      <w:r>
        <w:t>Evidence and professional learning</w:t>
      </w:r>
    </w:p>
    <w:p>
      <w:pPr>
        <w:spacing w:before="0" w:after="240" w:line="288" w:lineRule="auto"/>
      </w:pPr>
      <w:r>
        <w:rPr>
          <w:rFonts w:ascii="Calibri" w:hAnsi="Calibri" w:eastAsia="Calibri"/>
          <w:b/>
          <w:color w:val="123047"/>
          <w:sz w:val="26"/>
        </w:rPr>
        <w:t>Ask for dated, traceable sources and visible uncertainty—not merely a confident answer.</w:t>
      </w:r>
    </w:p>
    <w:p>
      <w:pPr>
        <w:keepNext/>
        <w:spacing w:before="0" w:after="80" w:line="300" w:lineRule="auto"/>
        <w:numPr>
          <w:ilvl w:val="0"/>
          <w:numId w:val="14"/>
        </w:numPr>
      </w:pPr>
      <w:r>
        <w:rPr>
          <w:rFonts w:ascii="Calibri" w:hAnsi="Calibri" w:eastAsia="Calibri"/>
          <w:color w:val="1F2937"/>
          <w:sz w:val="22"/>
        </w:rPr>
        <w:t>Define the exact generic learning question and intended use.</w:t>
      </w:r>
    </w:p>
    <w:p>
      <w:pPr>
        <w:keepNext/>
        <w:spacing w:before="0" w:after="80" w:line="300" w:lineRule="auto"/>
        <w:numPr>
          <w:ilvl w:val="0"/>
          <w:numId w:val="14"/>
        </w:numPr>
      </w:pPr>
      <w:r>
        <w:rPr>
          <w:rFonts w:ascii="Calibri" w:hAnsi="Calibri" w:eastAsia="Calibri"/>
          <w:color w:val="1F2937"/>
          <w:sz w:val="22"/>
        </w:rPr>
        <w:t>Identify population, setting, jurisdiction, date range, and source criteria.</w:t>
      </w:r>
    </w:p>
    <w:p>
      <w:pPr>
        <w:keepNext/>
        <w:spacing w:before="0" w:after="80" w:line="300" w:lineRule="auto"/>
        <w:numPr>
          <w:ilvl w:val="0"/>
          <w:numId w:val="14"/>
        </w:numPr>
      </w:pPr>
      <w:r>
        <w:rPr>
          <w:rFonts w:ascii="Calibri" w:hAnsi="Calibri" w:eastAsia="Calibri"/>
          <w:color w:val="1F2937"/>
          <w:sz w:val="22"/>
        </w:rPr>
        <w:t>Prefer current primary and authoritative sources; open them when available.</w:t>
      </w:r>
    </w:p>
    <w:p>
      <w:pPr>
        <w:keepNext/>
        <w:spacing w:before="0" w:after="80" w:line="300" w:lineRule="auto"/>
        <w:numPr>
          <w:ilvl w:val="0"/>
          <w:numId w:val="14"/>
        </w:numPr>
      </w:pPr>
      <w:r>
        <w:rPr>
          <w:rFonts w:ascii="Calibri" w:hAnsi="Calibri" w:eastAsia="Calibri"/>
          <w:color w:val="1F2937"/>
          <w:sz w:val="22"/>
        </w:rPr>
        <w:t>Record owner, date, link, applicability, limitations, and conflicts.</w:t>
      </w:r>
    </w:p>
    <w:p>
      <w:pPr>
        <w:keepNext/>
        <w:spacing w:before="0" w:after="80" w:line="300" w:lineRule="auto"/>
        <w:numPr>
          <w:ilvl w:val="0"/>
          <w:numId w:val="14"/>
        </w:numPr>
      </w:pPr>
      <w:r>
        <w:rPr>
          <w:rFonts w:ascii="Calibri" w:hAnsi="Calibri" w:eastAsia="Calibri"/>
          <w:color w:val="1F2937"/>
          <w:sz w:val="22"/>
        </w:rPr>
        <w:t>Separate source findings from interpretation, options, and unknowns.</w:t>
      </w:r>
    </w:p>
    <w:p>
      <w:pPr>
        <w:keepNext/>
        <w:spacing w:before="0" w:after="80" w:line="300" w:lineRule="auto"/>
        <w:numPr>
          <w:ilvl w:val="0"/>
          <w:numId w:val="14"/>
        </w:numPr>
      </w:pPr>
      <w:r>
        <w:rPr>
          <w:rFonts w:ascii="Calibri" w:hAnsi="Calibri" w:eastAsia="Calibri"/>
          <w:color w:val="1F2937"/>
          <w:sz w:val="22"/>
        </w:rPr>
        <w:t>State what the evidence does not establish.</w:t>
      </w:r>
    </w:p>
    <w:p>
      <w:pPr>
        <w:keepNext/>
        <w:spacing w:before="0" w:after="80" w:line="300" w:lineRule="auto"/>
        <w:numPr>
          <w:ilvl w:val="0"/>
          <w:numId w:val="14"/>
        </w:numPr>
      </w:pPr>
      <w:r>
        <w:rPr>
          <w:rFonts w:ascii="Calibri" w:hAnsi="Calibri" w:eastAsia="Calibri"/>
          <w:color w:val="1F2937"/>
          <w:sz w:val="22"/>
        </w:rPr>
        <w:t>Identify local policy, specialist, pharmacist, board, or employer verification.</w:t>
      </w:r>
    </w:p>
    <w:p>
      <w:pPr>
        <w:spacing w:before="0" w:after="80" w:line="300" w:lineRule="auto"/>
        <w:numPr>
          <w:ilvl w:val="0"/>
          <w:numId w:val="14"/>
        </w:numPr>
      </w:pPr>
      <w:r>
        <w:rPr>
          <w:rFonts w:ascii="Calibri" w:hAnsi="Calibri" w:eastAsia="Calibri"/>
          <w:color w:val="1F2937"/>
          <w:sz w:val="22"/>
        </w:rPr>
        <w:t>Set a refresh date and never delay urgent care for research.</w:t>
      </w:r>
    </w:p>
    <w:p>
      <w:pPr>
        <w:spacing w:before="120" w:after="200" w:line="276" w:lineRule="auto"/>
        <w:shd w:fill="FFF4D6"/>
        <w:pBdr>
          <w:left w:val="single" w:sz="18" w:space="8" w:color="B78316"/>
        </w:pBdr>
        <w:ind w:left="180" w:right="120"/>
      </w:pPr>
      <w:r>
        <w:rPr>
          <w:rFonts w:ascii="Calibri" w:hAnsi="Calibri" w:eastAsia="Calibri"/>
          <w:b/>
          <w:color w:val="123047"/>
          <w:sz w:val="22"/>
        </w:rPr>
        <w:t xml:space="preserve">Verification habit: </w:t>
      </w:r>
      <w:r>
        <w:rPr>
          <w:rFonts w:ascii="Calibri" w:hAnsi="Calibri" w:eastAsia="Calibri"/>
          <w:color w:val="1F2937"/>
          <w:sz w:val="22"/>
        </w:rPr>
        <w:t>Never accept a citation because it looks plausible. Open it and confirm the title, source, date, population, and claim.</w:t>
      </w:r>
    </w:p>
    <w:p>
      <w:pPr>
        <w:pStyle w:val="Heading1"/>
        <w:keepNext/>
      </w:pPr>
      <w:r>
        <w:t>The Human Standard: sound like a thoughtful NP</w:t>
      </w:r>
    </w:p>
    <w:p>
      <w:pPr/>
      <w:r>
        <w:rPr>
          <w:rFonts w:ascii="Calibri" w:hAnsi="Calibri" w:eastAsia="Calibri"/>
          <w:i w:val="0"/>
          <w:color w:val="1F2937"/>
          <w:sz w:val="22"/>
        </w:rPr>
        <w:t>Make This Human improves integrity and communication. It is not a detector-evasion tool. It removes unsupported certainty, inflated claims, generic empathy, repetitive filler, clichés, unnecessary jargon, and language that impersonates direct observation.</w:t>
      </w:r>
    </w:p>
    <w:tbl>
      <w:tblPr>
        <w:tblW w:type="dxa" w:w="9360"/>
        <w:tblLayout w:type="fixed"/>
        <w:tblLook w:firstColumn="1" w:firstRow="1" w:lastColumn="0" w:lastRow="0" w:noHBand="0" w:noVBand="1" w:val="04A0"/>
        <w:jc w:val="left"/>
        <w:tblInd w:w="120" w:type="dxa"/>
        <w:tblBorders>
          <w:top w:val="single" w:sz="6" w:space="0" w:color="C9D3DD"/>
          <w:left w:val="single" w:sz="6" w:space="0" w:color="C9D3DD"/>
          <w:bottom w:val="single" w:sz="6" w:space="0" w:color="C9D3DD"/>
          <w:right w:val="single" w:sz="6" w:space="0" w:color="C9D3DD"/>
          <w:insideH w:val="single" w:sz="6" w:space="0" w:color="C9D3DD"/>
          <w:insideV w:val="single" w:sz="6" w:space="0" w:color="C9D3DD"/>
        </w:tblBorders>
      </w:tblPr>
      <w:tblGrid>
        <w:gridCol w:w="1700"/>
        <w:gridCol w:w="7660"/>
      </w:tblGrid>
      <w:tr>
        <w:trPr>
          <w:cantSplit/>
          <w:tblHeader w:val="true"/>
          <w:cantSplit/>
        </w:trPr>
        <w:tc>
          <w:tcPr>
            <w:tcW w:type="dxa" w:w="1700"/>
            <w:tcMar>
              <w:top w:w="80" w:type="dxa"/>
              <w:start w:w="120" w:type="dxa"/>
              <w:bottom w:w="80" w:type="dxa"/>
              <w:end w:w="120" w:type="dxa"/>
            </w:tcMar>
            <w:vAlign w:val="center"/>
            <w:shd w:fill="E8EEF5" w:val="clear"/>
          </w:tcPr>
          <w:p>
            <w:pPr>
              <w:spacing w:before="0" w:after="0" w:line="252" w:lineRule="auto"/>
              <w:jc w:val="left"/>
            </w:pPr>
            <w:r/>
            <w:r>
              <w:rPr>
                <w:rFonts w:ascii="Calibri" w:hAnsi="Calibri" w:eastAsia="Calibri"/>
                <w:b/>
                <w:color w:val="123047"/>
                <w:sz w:val="18"/>
              </w:rPr>
              <w:t>Pass</w:t>
            </w:r>
          </w:p>
        </w:tc>
        <w:tc>
          <w:tcPr>
            <w:tcW w:type="dxa" w:w="7660"/>
            <w:tcMar>
              <w:top w:w="80" w:type="dxa"/>
              <w:start w:w="120" w:type="dxa"/>
              <w:bottom w:w="80" w:type="dxa"/>
              <w:end w:w="120" w:type="dxa"/>
            </w:tcMar>
            <w:vAlign w:val="center"/>
            <w:shd w:fill="E8EEF5" w:val="clear"/>
          </w:tcPr>
          <w:p>
            <w:pPr>
              <w:spacing w:before="0" w:after="0" w:line="252" w:lineRule="auto"/>
              <w:jc w:val="left"/>
            </w:pPr>
            <w:r/>
            <w:r>
              <w:rPr>
                <w:rFonts w:ascii="Calibri" w:hAnsi="Calibri" w:eastAsia="Calibri"/>
                <w:b/>
                <w:color w:val="123047"/>
                <w:sz w:val="18"/>
              </w:rPr>
              <w:t>Question</w:t>
            </w:r>
          </w:p>
        </w:tc>
      </w:tr>
      <w:tr>
        <w:trPr>
          <w:cantSplit/>
        </w:trPr>
        <w:tc>
          <w:tcPr>
            <w:tcW w:type="dxa" w:w="170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Truth</w:t>
            </w:r>
          </w:p>
        </w:tc>
        <w:tc>
          <w:tcPr>
            <w:tcW w:type="dxa" w:w="766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Are claims accurate, supported, and appropriately qualified?</w:t>
            </w:r>
          </w:p>
        </w:tc>
      </w:tr>
      <w:tr>
        <w:trPr>
          <w:cantSplit/>
        </w:trPr>
        <w:tc>
          <w:tcPr>
            <w:tcW w:type="dxa" w:w="170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Substance</w:t>
            </w:r>
          </w:p>
        </w:tc>
        <w:tc>
          <w:tcPr>
            <w:tcW w:type="dxa" w:w="766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Is there useful meaning rather than polished filler?</w:t>
            </w:r>
          </w:p>
        </w:tc>
      </w:tr>
      <w:tr>
        <w:trPr>
          <w:cantSplit/>
        </w:trPr>
        <w:tc>
          <w:tcPr>
            <w:tcW w:type="dxa" w:w="170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Specificity</w:t>
            </w:r>
          </w:p>
        </w:tc>
        <w:tc>
          <w:tcPr>
            <w:tcW w:type="dxa" w:w="766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Can vague language become concrete without invention?</w:t>
            </w:r>
          </w:p>
        </w:tc>
      </w:tr>
      <w:tr>
        <w:trPr>
          <w:cantSplit/>
        </w:trPr>
        <w:tc>
          <w:tcPr>
            <w:tcW w:type="dxa" w:w="170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Voice</w:t>
            </w:r>
          </w:p>
        </w:tc>
        <w:tc>
          <w:tcPr>
            <w:tcW w:type="dxa" w:w="766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Does it sound like the NP's approved voice?</w:t>
            </w:r>
          </w:p>
        </w:tc>
      </w:tr>
      <w:tr>
        <w:trPr>
          <w:cantSplit/>
        </w:trPr>
        <w:tc>
          <w:tcPr>
            <w:tcW w:type="dxa" w:w="170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Audience</w:t>
            </w:r>
          </w:p>
        </w:tc>
        <w:tc>
          <w:tcPr>
            <w:tcW w:type="dxa" w:w="766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Is it understandable and appropriate for the reader and channel?</w:t>
            </w:r>
          </w:p>
        </w:tc>
      </w:tr>
      <w:tr>
        <w:trPr>
          <w:cantSplit/>
        </w:trPr>
        <w:tc>
          <w:tcPr>
            <w:tcW w:type="dxa" w:w="170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Integrity</w:t>
            </w:r>
          </w:p>
        </w:tc>
        <w:tc>
          <w:tcPr>
            <w:tcW w:type="dxa" w:w="766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Are fabricated experiences, findings, sources, quotations, and results absent?</w:t>
            </w:r>
          </w:p>
        </w:tc>
      </w:tr>
      <w:tr>
        <w:trPr>
          <w:cantSplit/>
        </w:trPr>
        <w:tc>
          <w:tcPr>
            <w:tcW w:type="dxa" w:w="170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Ownership</w:t>
            </w:r>
          </w:p>
        </w:tc>
        <w:tc>
          <w:tcPr>
            <w:tcW w:type="dxa" w:w="766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Has the NP reviewed and approved the final artifact?</w:t>
            </w:r>
          </w:p>
        </w:tc>
      </w:tr>
    </w:tbl>
    <w:p>
      <w:pPr>
        <w:spacing w:before="0" w:after="40"/>
      </w:pPr>
    </w:p>
    <w:p>
      <w:r>
        <w:br w:type="page"/>
      </w:r>
    </w:p>
    <w:p>
      <w:pPr>
        <w:pStyle w:val="Heading1"/>
        <w:keepNext/>
      </w:pPr>
      <w:r>
        <w:t>Credentials, scope, career, and enterprise</w:t>
      </w:r>
    </w:p>
    <w:p>
      <w:pPr>
        <w:spacing w:before="0" w:after="240" w:line="288" w:lineRule="auto"/>
      </w:pPr>
      <w:r>
        <w:rPr>
          <w:rFonts w:ascii="Calibri" w:hAnsi="Calibri" w:eastAsia="Calibri"/>
          <w:b/>
          <w:color w:val="123047"/>
          <w:sz w:val="26"/>
        </w:rPr>
        <w:t>Hermes may remind and prepare. Official boards, certifiers, employers, medical-staff offices, payers, regulators, and portals determine actual status.</w:t>
      </w:r>
    </w:p>
    <w:p>
      <w:pPr>
        <w:spacing w:before="0" w:after="80" w:line="300" w:lineRule="auto"/>
        <w:numPr>
          <w:ilvl w:val="0"/>
          <w:numId w:val="10"/>
        </w:numPr>
      </w:pPr>
      <w:r>
        <w:rPr>
          <w:rFonts w:ascii="Calibri" w:hAnsi="Calibri" w:eastAsia="Calibri"/>
          <w:color w:val="1F2937"/>
          <w:sz w:val="22"/>
        </w:rPr>
        <w:t>Track only minimum metadata, official links, evidence locations, last verified date, and next review date.</w:t>
      </w:r>
    </w:p>
    <w:p>
      <w:pPr>
        <w:spacing w:before="0" w:after="80" w:line="300" w:lineRule="auto"/>
        <w:numPr>
          <w:ilvl w:val="0"/>
          <w:numId w:val="10"/>
        </w:numPr>
      </w:pPr>
      <w:r>
        <w:rPr>
          <w:rFonts w:ascii="Calibri" w:hAnsi="Calibri" w:eastAsia="Calibri"/>
          <w:color w:val="1F2937"/>
          <w:sz w:val="22"/>
        </w:rPr>
        <w:t>Keep board, certifier, employer, privilege, payer, CE, prescribing, and program requirements separate.</w:t>
      </w:r>
    </w:p>
    <w:p>
      <w:pPr>
        <w:spacing w:before="0" w:after="80" w:line="300" w:lineRule="auto"/>
        <w:numPr>
          <w:ilvl w:val="0"/>
          <w:numId w:val="10"/>
        </w:numPr>
      </w:pPr>
      <w:r>
        <w:rPr>
          <w:rFonts w:ascii="Calibri" w:hAnsi="Calibri" w:eastAsia="Calibri"/>
          <w:color w:val="1F2937"/>
          <w:sz w:val="22"/>
        </w:rPr>
        <w:t>Never mark an item complete merely because a reminder fired, a title was uploaded, or a draft was prepared.</w:t>
      </w:r>
    </w:p>
    <w:p>
      <w:pPr>
        <w:spacing w:before="0" w:after="80" w:line="300" w:lineRule="auto"/>
        <w:numPr>
          <w:ilvl w:val="0"/>
          <w:numId w:val="10"/>
        </w:numPr>
      </w:pPr>
      <w:r>
        <w:rPr>
          <w:rFonts w:ascii="Calibri" w:hAnsi="Calibri" w:eastAsia="Calibri"/>
          <w:color w:val="1F2937"/>
          <w:sz w:val="22"/>
        </w:rPr>
        <w:t>Never store passwords, security answers, signature images, authentication tokens, or controlled-substance credentials.</w:t>
      </w:r>
    </w:p>
    <w:p>
      <w:pPr>
        <w:spacing w:before="0" w:after="80" w:line="300" w:lineRule="auto"/>
        <w:numPr>
          <w:ilvl w:val="0"/>
          <w:numId w:val="10"/>
        </w:numPr>
      </w:pPr>
      <w:r>
        <w:rPr>
          <w:rFonts w:ascii="Calibri" w:hAnsi="Calibri" w:eastAsia="Calibri"/>
          <w:color w:val="1F2937"/>
          <w:sz w:val="22"/>
        </w:rPr>
        <w:t>A competence or portfolio record documents development; it does not confer scope, certification, credentialing, or privileges.</w:t>
      </w:r>
    </w:p>
    <w:p>
      <w:pPr>
        <w:spacing w:before="0" w:after="80" w:line="300" w:lineRule="auto"/>
        <w:numPr>
          <w:ilvl w:val="0"/>
          <w:numId w:val="10"/>
        </w:numPr>
      </w:pPr>
      <w:r>
        <w:rPr>
          <w:rFonts w:ascii="Calibri" w:hAnsi="Calibri" w:eastAsia="Calibri"/>
          <w:color w:val="1F2937"/>
          <w:sz w:val="22"/>
        </w:rPr>
        <w:t>Use attorneys, CPAs, insurers, financial professionals, regulators, and other qualified advisors for consequential business and contract questions.</w:t>
      </w:r>
    </w:p>
    <w:p>
      <w:pPr>
        <w:pStyle w:val="Heading1"/>
        <w:keepNext/>
      </w:pPr>
      <w:r>
        <w:t>Role and life situations</w:t>
      </w:r>
    </w:p>
    <w:tbl>
      <w:tblPr>
        <w:tblW w:type="dxa" w:w="9360"/>
        <w:tblLayout w:type="fixed"/>
        <w:tblLook w:firstColumn="1" w:firstRow="1" w:lastColumn="0" w:lastRow="0" w:noHBand="0" w:noVBand="1" w:val="04A0"/>
        <w:jc w:val="left"/>
        <w:tblInd w:w="120" w:type="dxa"/>
        <w:tblBorders>
          <w:top w:val="single" w:sz="6" w:space="0" w:color="C9D3DD"/>
          <w:left w:val="single" w:sz="6" w:space="0" w:color="C9D3DD"/>
          <w:bottom w:val="single" w:sz="6" w:space="0" w:color="C9D3DD"/>
          <w:right w:val="single" w:sz="6" w:space="0" w:color="C9D3DD"/>
          <w:insideH w:val="single" w:sz="6" w:space="0" w:color="C9D3DD"/>
          <w:insideV w:val="single" w:sz="6" w:space="0" w:color="C9D3DD"/>
        </w:tblBorders>
      </w:tblPr>
      <w:tblGrid>
        <w:gridCol w:w="2300"/>
        <w:gridCol w:w="3700"/>
        <w:gridCol w:w="3360"/>
      </w:tblGrid>
      <w:tr>
        <w:trPr>
          <w:cantSplit/>
          <w:tblHeader w:val="true"/>
          <w:cantSplit/>
        </w:trPr>
        <w:tc>
          <w:tcPr>
            <w:tcW w:type="dxa" w:w="2300"/>
            <w:tcMar>
              <w:top w:w="80" w:type="dxa"/>
              <w:start w:w="120" w:type="dxa"/>
              <w:bottom w:w="80" w:type="dxa"/>
              <w:end w:w="120" w:type="dxa"/>
            </w:tcMar>
            <w:vAlign w:val="center"/>
            <w:shd w:fill="E8EEF5" w:val="clear"/>
          </w:tcPr>
          <w:p>
            <w:pPr>
              <w:spacing w:before="0" w:after="0" w:line="252" w:lineRule="auto"/>
              <w:jc w:val="left"/>
            </w:pPr>
            <w:r/>
            <w:r>
              <w:rPr>
                <w:rFonts w:ascii="Calibri" w:hAnsi="Calibri" w:eastAsia="Calibri"/>
                <w:b/>
                <w:color w:val="123047"/>
                <w:sz w:val="18"/>
              </w:rPr>
              <w:t>Situation</w:t>
            </w:r>
          </w:p>
        </w:tc>
        <w:tc>
          <w:tcPr>
            <w:tcW w:type="dxa" w:w="3700"/>
            <w:tcMar>
              <w:top w:w="80" w:type="dxa"/>
              <w:start w:w="120" w:type="dxa"/>
              <w:bottom w:w="80" w:type="dxa"/>
              <w:end w:w="120" w:type="dxa"/>
            </w:tcMar>
            <w:vAlign w:val="center"/>
            <w:shd w:fill="E8EEF5" w:val="clear"/>
          </w:tcPr>
          <w:p>
            <w:pPr>
              <w:spacing w:before="0" w:after="0" w:line="252" w:lineRule="auto"/>
              <w:jc w:val="left"/>
            </w:pPr>
            <w:r/>
            <w:r>
              <w:rPr>
                <w:rFonts w:ascii="Calibri" w:hAnsi="Calibri" w:eastAsia="Calibri"/>
                <w:b/>
                <w:color w:val="123047"/>
                <w:sz w:val="18"/>
              </w:rPr>
              <w:t>Safe support</w:t>
            </w:r>
          </w:p>
        </w:tc>
        <w:tc>
          <w:tcPr>
            <w:tcW w:type="dxa" w:w="3360"/>
            <w:tcMar>
              <w:top w:w="80" w:type="dxa"/>
              <w:start w:w="120" w:type="dxa"/>
              <w:bottom w:w="80" w:type="dxa"/>
              <w:end w:w="120" w:type="dxa"/>
            </w:tcMar>
            <w:vAlign w:val="center"/>
            <w:shd w:fill="E8EEF5" w:val="clear"/>
          </w:tcPr>
          <w:p>
            <w:pPr>
              <w:spacing w:before="0" w:after="0" w:line="252" w:lineRule="auto"/>
              <w:jc w:val="left"/>
            </w:pPr>
            <w:r/>
            <w:r>
              <w:rPr>
                <w:rFonts w:ascii="Calibri" w:hAnsi="Calibri" w:eastAsia="Calibri"/>
                <w:b/>
                <w:color w:val="123047"/>
                <w:sz w:val="18"/>
              </w:rPr>
              <w:t>Human or official checkpoint</w:t>
            </w:r>
          </w:p>
        </w:tc>
      </w:tr>
      <w:tr>
        <w:trPr>
          <w:cantSplit/>
        </w:trPr>
        <w:tc>
          <w:tcPr>
            <w:tcW w:type="dxa" w:w="230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New or transitioning NP</w:t>
            </w:r>
          </w:p>
        </w:tc>
        <w:tc>
          <w:tcPr>
            <w:tcW w:type="dxa" w:w="370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90-day ramp, credential radar, learning sprint, mentor questions, role-load plan</w:t>
            </w:r>
          </w:p>
        </w:tc>
        <w:tc>
          <w:tcPr>
            <w:tcW w:type="dxa" w:w="336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Preceptor, board, certifier, employer, credentialing, privileges</w:t>
            </w:r>
          </w:p>
        </w:tc>
      </w:tr>
      <w:tr>
        <w:trPr>
          <w:cantSplit/>
        </w:trPr>
        <w:tc>
          <w:tcPr>
            <w:tcW w:type="dxa" w:w="230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Established employed NP</w:t>
            </w:r>
          </w:p>
        </w:tc>
        <w:tc>
          <w:tcPr>
            <w:tcW w:type="dxa" w:w="370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Role-load map, workload conversation, portfolio, leadership or career path</w:t>
            </w:r>
          </w:p>
        </w:tc>
        <w:tc>
          <w:tcPr>
            <w:tcW w:type="dxa" w:w="336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Manager, HR, policy, attorney or advisor when needed</w:t>
            </w:r>
          </w:p>
        </w:tc>
      </w:tr>
      <w:tr>
        <w:trPr>
          <w:cantSplit/>
        </w:trPr>
        <w:tc>
          <w:tcPr>
            <w:tcW w:type="dxa" w:w="230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Acute care, specialty, shift, or on-call NP</w:t>
            </w:r>
          </w:p>
        </w:tc>
        <w:tc>
          <w:tcPr>
            <w:tcW w:type="dxa" w:w="370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Schedule and recovery plan, generic evidence, skill portfolio, consultation preparation</w:t>
            </w:r>
          </w:p>
        </w:tc>
        <w:tc>
          <w:tcPr>
            <w:tcW w:type="dxa" w:w="336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Clinical chain, policy, privileges, specialists; no live-care guidance</w:t>
            </w:r>
          </w:p>
        </w:tc>
      </w:tr>
      <w:tr>
        <w:trPr>
          <w:cantSplit/>
        </w:trPr>
        <w:tc>
          <w:tcPr>
            <w:tcW w:type="dxa" w:w="230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Primary or ambulatory care NP</w:t>
            </w:r>
          </w:p>
        </w:tc>
        <w:tc>
          <w:tcPr>
            <w:tcW w:type="dxa" w:w="370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Public evidence updates, nonpatient workflow planning, learning and career goals</w:t>
            </w:r>
          </w:p>
        </w:tc>
        <w:tc>
          <w:tcPr>
            <w:tcW w:type="dxa" w:w="336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EHR and patient messaging remain in approved clinical systems</w:t>
            </w:r>
          </w:p>
        </w:tc>
      </w:tr>
      <w:tr>
        <w:trPr>
          <w:cantSplit/>
        </w:trPr>
        <w:tc>
          <w:tcPr>
            <w:tcW w:type="dxa" w:w="230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PMHNP or emotionally demanding practice</w:t>
            </w:r>
          </w:p>
        </w:tc>
        <w:tc>
          <w:tcPr>
            <w:tcW w:type="dxa" w:w="370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Generic learning, supervision questions, boundaries, decompression and support plan</w:t>
            </w:r>
          </w:p>
        </w:tc>
        <w:tc>
          <w:tcPr>
            <w:tcW w:type="dxa" w:w="336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No patient narratives; qualified clinical and personal support</w:t>
            </w:r>
          </w:p>
        </w:tc>
      </w:tr>
      <w:tr>
        <w:trPr>
          <w:cantSplit/>
        </w:trPr>
        <w:tc>
          <w:tcPr>
            <w:tcW w:type="dxa" w:w="230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Educator, preceptor, leader, QI, or scholar</w:t>
            </w:r>
          </w:p>
        </w:tc>
        <w:tc>
          <w:tcPr>
            <w:tcW w:type="dxa" w:w="370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Synthetic cases, briefs, rubrics, charters, presentations, publication plan</w:t>
            </w:r>
          </w:p>
        </w:tc>
        <w:tc>
          <w:tcPr>
            <w:tcW w:type="dxa" w:w="336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Accuracy, policy, governance, attribution, consent, stakeholder review</w:t>
            </w:r>
          </w:p>
        </w:tc>
      </w:tr>
      <w:tr>
        <w:trPr>
          <w:cantSplit/>
        </w:trPr>
        <w:tc>
          <w:tcPr>
            <w:tcW w:type="dxa" w:w="230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Entrepreneur, consultant, or community builder</w:t>
            </w:r>
          </w:p>
        </w:tc>
        <w:tc>
          <w:tcPr>
            <w:tcW w:type="dxa" w:w="370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Problem discovery, ethical offer, small experiment, impact reflection</w:t>
            </w:r>
          </w:p>
        </w:tc>
        <w:tc>
          <w:tcPr>
            <w:tcW w:type="dxa" w:w="336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Legal, tax, insurance, privacy, billing, regulatory, conflict review</w:t>
            </w:r>
          </w:p>
        </w:tc>
      </w:tr>
      <w:tr>
        <w:trPr>
          <w:cantSplit/>
        </w:trPr>
        <w:tc>
          <w:tcPr>
            <w:tcW w:type="dxa" w:w="230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Portfolio, reduced-clinical-load, return, or retirement transition</w:t>
            </w:r>
          </w:p>
        </w:tc>
        <w:tc>
          <w:tcPr>
            <w:tcW w:type="dxa" w:w="370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Possible-futures map, runway, identity bridge, reversible experiments</w:t>
            </w:r>
          </w:p>
        </w:tc>
        <w:tc>
          <w:tcPr>
            <w:tcW w:type="dxa" w:w="336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Benefits, contracts, credentials, finances, health, family decisions</w:t>
            </w:r>
          </w:p>
        </w:tc>
      </w:tr>
    </w:tbl>
    <w:p>
      <w:pPr>
        <w:spacing w:before="0" w:after="40"/>
      </w:pPr>
    </w:p>
    <w:p>
      <w:pPr>
        <w:pStyle w:val="Heading1"/>
        <w:keepNext/>
      </w:pPr>
      <w:r>
        <w:t>Optional Power-Ups</w:t>
      </w:r>
    </w:p>
    <w:p>
      <w:pPr>
        <w:pStyle w:val="Heading2"/>
        <w:keepNext/>
      </w:pPr>
      <w:r>
        <w:t>Practice Design Architect</w:t>
      </w:r>
    </w:p>
    <w:p>
      <w:pPr/>
      <w:r>
        <w:rPr>
          <w:rFonts w:ascii="Calibri" w:hAnsi="Calibri" w:eastAsia="Calibri"/>
          <w:i w:val="0"/>
          <w:color w:val="1F2937"/>
          <w:sz w:val="22"/>
        </w:rPr>
        <w:t>Maps professional and administrative responsibilities and prepares deidentified workflow-redesign questions.</w:t>
      </w:r>
    </w:p>
    <w:p>
      <w:pPr>
        <w:pStyle w:val="Heading2"/>
        <w:keepNext/>
      </w:pPr>
      <w:r>
        <w:t>Credential &amp; Renewal Radar</w:t>
      </w:r>
    </w:p>
    <w:p>
      <w:pPr/>
      <w:r>
        <w:rPr>
          <w:rFonts w:ascii="Calibri" w:hAnsi="Calibri" w:eastAsia="Calibri"/>
          <w:i w:val="0"/>
          <w:color w:val="1F2937"/>
          <w:sz w:val="22"/>
        </w:rPr>
        <w:t>Organizes due dates, official links, evidence, and questions without claiming current status.</w:t>
      </w:r>
    </w:p>
    <w:p>
      <w:pPr>
        <w:pStyle w:val="Heading2"/>
        <w:keepNext/>
      </w:pPr>
      <w:r>
        <w:t>Evidence Scout</w:t>
      </w:r>
    </w:p>
    <w:p>
      <w:pPr/>
      <w:r>
        <w:rPr>
          <w:rFonts w:ascii="Calibri" w:hAnsi="Calibri" w:eastAsia="Calibri"/>
          <w:i w:val="0"/>
          <w:color w:val="1F2937"/>
          <w:sz w:val="22"/>
        </w:rPr>
        <w:t>Builds primary-source briefs, contradiction maps, confidence labels, and refresh dates.</w:t>
      </w:r>
    </w:p>
    <w:p>
      <w:pPr>
        <w:pStyle w:val="Heading2"/>
        <w:keepNext/>
      </w:pPr>
      <w:r>
        <w:t>Role &amp; Conversation Studio</w:t>
      </w:r>
    </w:p>
    <w:p>
      <w:pPr/>
      <w:r>
        <w:rPr>
          <w:rFonts w:ascii="Calibri" w:hAnsi="Calibri" w:eastAsia="Calibri"/>
          <w:i w:val="0"/>
          <w:color w:val="1F2937"/>
          <w:sz w:val="22"/>
        </w:rPr>
        <w:t>Prepares workload, role, compensation, feedback, consultation, and boundary conversations without legal conclusions.</w:t>
      </w:r>
    </w:p>
    <w:p>
      <w:pPr>
        <w:pStyle w:val="Heading2"/>
        <w:keepNext/>
      </w:pPr>
      <w:r>
        <w:t>Recovery &amp; Longevity Guardian</w:t>
      </w:r>
    </w:p>
    <w:p>
      <w:pPr/>
      <w:r>
        <w:rPr>
          <w:rFonts w:ascii="Calibri" w:hAnsi="Calibri" w:eastAsia="Calibri"/>
          <w:i w:val="0"/>
          <w:color w:val="1F2937"/>
          <w:sz w:val="22"/>
        </w:rPr>
        <w:t>Creates Minimum Mode, recovery anchors, transition rituals, and re-entry plans without diagnosing or assessing fitness.</w:t>
      </w:r>
    </w:p>
    <w:p>
      <w:pPr>
        <w:pStyle w:val="Heading2"/>
        <w:keepNext/>
      </w:pPr>
      <w:r>
        <w:t>Portfolio Career Builder</w:t>
      </w:r>
    </w:p>
    <w:p>
      <w:pPr/>
      <w:r>
        <w:rPr>
          <w:rFonts w:ascii="Calibri" w:hAnsi="Calibri" w:eastAsia="Calibri"/>
          <w:i w:val="0"/>
          <w:color w:val="1F2937"/>
          <w:sz w:val="22"/>
        </w:rPr>
        <w:t>Builds a verified portfolio across practice, education, leadership, scholarship, quality, speaking, and service.</w:t>
      </w:r>
    </w:p>
    <w:p>
      <w:pPr>
        <w:pStyle w:val="Heading2"/>
        <w:keepNext/>
      </w:pPr>
      <w:r>
        <w:t>Ethical Venture &amp; Community Lab</w:t>
      </w:r>
    </w:p>
    <w:p>
      <w:pPr/>
      <w:r>
        <w:rPr>
          <w:rFonts w:ascii="Calibri" w:hAnsi="Calibri" w:eastAsia="Calibri"/>
          <w:i w:val="0"/>
          <w:color w:val="1F2937"/>
          <w:sz w:val="22"/>
        </w:rPr>
        <w:t>Supports listening, problem definition, reversible experiments, consent, partnerships, and impact learning.</w:t>
      </w:r>
    </w:p>
    <w:p>
      <w:pPr>
        <w:pStyle w:val="Heading2"/>
        <w:keepNext/>
      </w:pPr>
      <w:r>
        <w:t>Public Voice Studio</w:t>
      </w:r>
    </w:p>
    <w:p>
      <w:pPr/>
      <w:r>
        <w:rPr>
          <w:rFonts w:ascii="Calibri" w:hAnsi="Calibri" w:eastAsia="Calibri"/>
          <w:i w:val="0"/>
          <w:color w:val="1F2937"/>
          <w:sz w:val="22"/>
        </w:rPr>
        <w:t>Creates evidence-aware, humane public education while preventing patient stories, unsupported claims, and employer misrepresentation.</w:t>
      </w:r>
    </w:p>
    <w:p>
      <w:pPr>
        <w:pStyle w:val="Heading2"/>
        <w:keepNext/>
      </w:pPr>
      <w:r>
        <w:t>Transition &amp; Legacy Navigator</w:t>
      </w:r>
    </w:p>
    <w:p>
      <w:pPr/>
      <w:r>
        <w:rPr>
          <w:rFonts w:ascii="Calibri" w:hAnsi="Calibri" w:eastAsia="Calibri"/>
          <w:i w:val="0"/>
          <w:color w:val="1F2937"/>
          <w:sz w:val="22"/>
        </w:rPr>
        <w:t>Supports specialty change, leave, reduced clinical load, succession, mentoring, retirement, and what comes next.</w:t>
      </w:r>
    </w:p>
    <w:p>
      <w:pPr>
        <w:spacing w:before="120" w:after="200" w:line="276" w:lineRule="auto"/>
        <w:shd w:fill="EEECF8"/>
        <w:pBdr>
          <w:left w:val="single" w:sz="18" w:space="8" w:color="6255A5"/>
        </w:pBdr>
        <w:ind w:left="180" w:right="120"/>
      </w:pPr>
      <w:r>
        <w:rPr>
          <w:rFonts w:ascii="Calibri" w:hAnsi="Calibri" w:eastAsia="Calibri"/>
          <w:b/>
          <w:color w:val="123047"/>
          <w:sz w:val="22"/>
        </w:rPr>
        <w:t xml:space="preserve">Activation rule: </w:t>
      </w:r>
      <w:r>
        <w:rPr>
          <w:rFonts w:ascii="Calibri" w:hAnsi="Calibri" w:eastAsia="Calibri"/>
          <w:color w:val="1F2937"/>
          <w:sz w:val="22"/>
        </w:rPr>
        <w:t>Add no more than one Power-Up per week. Keep it only when its value, data, permissions, approval ceiling, and uninstall behavior are understood.</w:t>
      </w:r>
    </w:p>
    <w:p>
      <w:pPr>
        <w:pStyle w:val="Heading1"/>
        <w:keepNext/>
      </w:pPr>
      <w:r>
        <w:t>Safe automation: earn it gradually</w:t>
      </w:r>
    </w:p>
    <w:tbl>
      <w:tblPr>
        <w:tblW w:type="dxa" w:w="9360"/>
        <w:tblLayout w:type="fixed"/>
        <w:tblLook w:firstColumn="1" w:firstRow="1" w:lastColumn="0" w:lastRow="0" w:noHBand="0" w:noVBand="1" w:val="04A0"/>
        <w:jc w:val="left"/>
        <w:tblInd w:w="120" w:type="dxa"/>
        <w:tblBorders>
          <w:top w:val="single" w:sz="6" w:space="0" w:color="C9D3DD"/>
          <w:left w:val="single" w:sz="6" w:space="0" w:color="C9D3DD"/>
          <w:bottom w:val="single" w:sz="6" w:space="0" w:color="C9D3DD"/>
          <w:right w:val="single" w:sz="6" w:space="0" w:color="C9D3DD"/>
          <w:insideH w:val="single" w:sz="6" w:space="0" w:color="C9D3DD"/>
          <w:insideV w:val="single" w:sz="6" w:space="0" w:color="C9D3DD"/>
        </w:tblBorders>
      </w:tblPr>
      <w:tblGrid>
        <w:gridCol w:w="1500"/>
        <w:gridCol w:w="4300"/>
        <w:gridCol w:w="3560"/>
      </w:tblGrid>
      <w:tr>
        <w:trPr>
          <w:cantSplit/>
          <w:tblHeader w:val="true"/>
          <w:cantSplit/>
        </w:trPr>
        <w:tc>
          <w:tcPr>
            <w:tcW w:type="dxa" w:w="1500"/>
            <w:tcMar>
              <w:top w:w="80" w:type="dxa"/>
              <w:start w:w="120" w:type="dxa"/>
              <w:bottom w:w="80" w:type="dxa"/>
              <w:end w:w="120" w:type="dxa"/>
            </w:tcMar>
            <w:vAlign w:val="center"/>
            <w:shd w:fill="E8EEF5" w:val="clear"/>
          </w:tcPr>
          <w:p>
            <w:pPr>
              <w:spacing w:before="0" w:after="0" w:line="252" w:lineRule="auto"/>
              <w:jc w:val="left"/>
            </w:pPr>
            <w:r/>
            <w:r>
              <w:rPr>
                <w:rFonts w:ascii="Calibri" w:hAnsi="Calibri" w:eastAsia="Calibri"/>
                <w:b/>
                <w:color w:val="123047"/>
                <w:sz w:val="18"/>
              </w:rPr>
              <w:t>Level</w:t>
            </w:r>
          </w:p>
        </w:tc>
        <w:tc>
          <w:tcPr>
            <w:tcW w:type="dxa" w:w="4300"/>
            <w:tcMar>
              <w:top w:w="80" w:type="dxa"/>
              <w:start w:w="120" w:type="dxa"/>
              <w:bottom w:w="80" w:type="dxa"/>
              <w:end w:w="120" w:type="dxa"/>
            </w:tcMar>
            <w:vAlign w:val="center"/>
            <w:shd w:fill="E8EEF5" w:val="clear"/>
          </w:tcPr>
          <w:p>
            <w:pPr>
              <w:spacing w:before="0" w:after="0" w:line="252" w:lineRule="auto"/>
              <w:jc w:val="left"/>
            </w:pPr>
            <w:r/>
            <w:r>
              <w:rPr>
                <w:rFonts w:ascii="Calibri" w:hAnsi="Calibri" w:eastAsia="Calibri"/>
                <w:b/>
                <w:color w:val="123047"/>
                <w:sz w:val="18"/>
              </w:rPr>
              <w:t>Meaning</w:t>
            </w:r>
          </w:p>
        </w:tc>
        <w:tc>
          <w:tcPr>
            <w:tcW w:type="dxa" w:w="3560"/>
            <w:tcMar>
              <w:top w:w="80" w:type="dxa"/>
              <w:start w:w="120" w:type="dxa"/>
              <w:bottom w:w="80" w:type="dxa"/>
              <w:end w:w="120" w:type="dxa"/>
            </w:tcMar>
            <w:vAlign w:val="center"/>
            <w:shd w:fill="E8EEF5" w:val="clear"/>
          </w:tcPr>
          <w:p>
            <w:pPr>
              <w:spacing w:before="0" w:after="0" w:line="252" w:lineRule="auto"/>
              <w:jc w:val="left"/>
            </w:pPr>
            <w:r/>
            <w:r>
              <w:rPr>
                <w:rFonts w:ascii="Calibri" w:hAnsi="Calibri" w:eastAsia="Calibri"/>
                <w:b/>
                <w:color w:val="123047"/>
                <w:sz w:val="18"/>
              </w:rPr>
              <w:t>NP rule</w:t>
            </w:r>
          </w:p>
        </w:tc>
      </w:tr>
      <w:tr>
        <w:trPr>
          <w:cantSplit/>
        </w:trPr>
        <w:tc>
          <w:tcPr>
            <w:tcW w:type="dxa" w:w="150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1. Manual</w:t>
            </w:r>
          </w:p>
        </w:tc>
        <w:tc>
          <w:tcPr>
            <w:tcW w:type="dxa" w:w="430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The NP performs the task</w:t>
            </w:r>
          </w:p>
        </w:tc>
        <w:tc>
          <w:tcPr>
            <w:tcW w:type="dxa" w:w="356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Use this while the work and risk are still being understood.</w:t>
            </w:r>
          </w:p>
        </w:tc>
      </w:tr>
      <w:tr>
        <w:trPr>
          <w:cantSplit/>
        </w:trPr>
        <w:tc>
          <w:tcPr>
            <w:tcW w:type="dxa" w:w="150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2. AI-assisted</w:t>
            </w:r>
          </w:p>
        </w:tc>
        <w:tc>
          <w:tcPr>
            <w:tcW w:type="dxa" w:w="430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Hermes helps with one step</w:t>
            </w:r>
          </w:p>
        </w:tc>
        <w:tc>
          <w:tcPr>
            <w:tcW w:type="dxa" w:w="356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The NP remains inside the workflow.</w:t>
            </w:r>
          </w:p>
        </w:tc>
      </w:tr>
      <w:tr>
        <w:trPr>
          <w:cantSplit/>
        </w:trPr>
        <w:tc>
          <w:tcPr>
            <w:tcW w:type="dxa" w:w="150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3. Preview</w:t>
            </w:r>
          </w:p>
        </w:tc>
        <w:tc>
          <w:tcPr>
            <w:tcW w:type="dxa" w:w="430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Hermes prepares the full output but creates no external effect</w:t>
            </w:r>
          </w:p>
        </w:tc>
        <w:tc>
          <w:tcPr>
            <w:tcW w:type="dxa" w:w="356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Review assumptions, sources, recipients, and destination.</w:t>
            </w:r>
          </w:p>
        </w:tc>
      </w:tr>
      <w:tr>
        <w:trPr>
          <w:cantSplit/>
        </w:trPr>
        <w:tc>
          <w:tcPr>
            <w:tcW w:type="dxa" w:w="150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4. Approval-gated</w:t>
            </w:r>
          </w:p>
        </w:tc>
        <w:tc>
          <w:tcPr>
            <w:tcW w:type="dxa" w:w="430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One exact run may occur after explicit confirmation</w:t>
            </w:r>
          </w:p>
        </w:tc>
        <w:tc>
          <w:tcPr>
            <w:tcW w:type="dxa" w:w="356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Changed content, recipient, data, or destination requires new approval.</w:t>
            </w:r>
          </w:p>
        </w:tc>
      </w:tr>
      <w:tr>
        <w:trPr>
          <w:cantSplit/>
        </w:trPr>
        <w:tc>
          <w:tcPr>
            <w:tcW w:type="dxa" w:w="150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5. Monitored</w:t>
            </w:r>
          </w:p>
        </w:tc>
        <w:tc>
          <w:tcPr>
            <w:tcW w:type="dxa" w:w="430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A proven low-risk workflow runs within fixed boundaries with receipts</w:t>
            </w:r>
          </w:p>
        </w:tc>
        <w:tc>
          <w:tcPr>
            <w:tcW w:type="dxa" w:w="356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Three supervised runs, stable scope, recovery test, owner, and review date are required.</w:t>
            </w:r>
          </w:p>
        </w:tc>
      </w:tr>
    </w:tbl>
    <w:p>
      <w:pPr>
        <w:spacing w:before="0" w:after="40"/>
      </w:pPr>
    </w:p>
    <w:p>
      <w:pPr>
        <w:spacing w:before="120" w:after="200" w:line="276" w:lineRule="auto"/>
        <w:shd w:fill="F8E8E7"/>
        <w:pBdr>
          <w:left w:val="single" w:sz="18" w:space="8" w:color="B95756"/>
        </w:pBdr>
        <w:ind w:left="180" w:right="120"/>
      </w:pPr>
      <w:r>
        <w:rPr>
          <w:rFonts w:ascii="Calibri" w:hAnsi="Calibri" w:eastAsia="Calibri"/>
          <w:b/>
          <w:color w:val="123047"/>
          <w:sz w:val="22"/>
        </w:rPr>
        <w:t xml:space="preserve">Permanent ceiling: </w:t>
      </w:r>
      <w:r>
        <w:rPr>
          <w:rFonts w:ascii="Calibri" w:hAnsi="Calibri" w:eastAsia="Calibri"/>
          <w:color w:val="1F2937"/>
          <w:sz w:val="22"/>
        </w:rPr>
        <w:t>Patient-facing, EHR, prescribing, ordering, emergency, clinical documentation, coding, billing, credentialing attestation, and other regulated actions do not graduate through this personal pack.</w:t>
      </w:r>
    </w:p>
    <w:p>
      <w:pPr>
        <w:pStyle w:val="Heading2"/>
        <w:keepNext/>
      </w:pPr>
      <w:r>
        <w:t>Every workflow card must show</w:t>
      </w:r>
    </w:p>
    <w:p>
      <w:pPr>
        <w:spacing w:before="0" w:after="80" w:line="300" w:lineRule="auto"/>
        <w:numPr>
          <w:ilvl w:val="0"/>
          <w:numId w:val="10"/>
        </w:numPr>
      </w:pPr>
      <w:r>
        <w:rPr>
          <w:rFonts w:ascii="Calibri" w:hAnsi="Calibri" w:eastAsia="Calibri"/>
          <w:color w:val="1F2937"/>
          <w:sz w:val="22"/>
        </w:rPr>
        <w:t>Purpose, owner, trigger, expected result, and estimated time</w:t>
      </w:r>
    </w:p>
    <w:p>
      <w:pPr>
        <w:spacing w:before="0" w:after="80" w:line="300" w:lineRule="auto"/>
        <w:numPr>
          <w:ilvl w:val="0"/>
          <w:numId w:val="10"/>
        </w:numPr>
      </w:pPr>
      <w:r>
        <w:rPr>
          <w:rFonts w:ascii="Calibri" w:hAnsi="Calibri" w:eastAsia="Calibri"/>
          <w:color w:val="1F2937"/>
          <w:sz w:val="22"/>
        </w:rPr>
        <w:t>Permitted data, prohibited data, sources, and permissions</w:t>
      </w:r>
    </w:p>
    <w:p>
      <w:pPr>
        <w:spacing w:before="0" w:after="80" w:line="300" w:lineRule="auto"/>
        <w:numPr>
          <w:ilvl w:val="0"/>
          <w:numId w:val="10"/>
        </w:numPr>
      </w:pPr>
      <w:r>
        <w:rPr>
          <w:rFonts w:ascii="Calibri" w:hAnsi="Calibri" w:eastAsia="Calibri"/>
          <w:color w:val="1F2937"/>
          <w:sz w:val="22"/>
        </w:rPr>
        <w:t>Action, destination, recipient, and frequency</w:t>
      </w:r>
    </w:p>
    <w:p>
      <w:pPr>
        <w:spacing w:before="0" w:after="80" w:line="300" w:lineRule="auto"/>
        <w:numPr>
          <w:ilvl w:val="0"/>
          <w:numId w:val="10"/>
        </w:numPr>
      </w:pPr>
      <w:r>
        <w:rPr>
          <w:rFonts w:ascii="Calibri" w:hAnsi="Calibri" w:eastAsia="Calibri"/>
          <w:color w:val="1F2937"/>
          <w:sz w:val="22"/>
        </w:rPr>
        <w:t>Mode, risk tier, preview, approval method, and maximum automation</w:t>
      </w:r>
    </w:p>
    <w:p>
      <w:pPr>
        <w:spacing w:before="0" w:after="80" w:line="300" w:lineRule="auto"/>
        <w:numPr>
          <w:ilvl w:val="0"/>
          <w:numId w:val="10"/>
        </w:numPr>
      </w:pPr>
      <w:r>
        <w:rPr>
          <w:rFonts w:ascii="Calibri" w:hAnsi="Calibri" w:eastAsia="Calibri"/>
          <w:color w:val="1F2937"/>
          <w:sz w:val="22"/>
        </w:rPr>
        <w:t>Duplicate prevention, failure behavior, stop condition, recovery, and expiration</w:t>
      </w:r>
    </w:p>
    <w:p>
      <w:pPr>
        <w:spacing w:before="0" w:after="80" w:line="300" w:lineRule="auto"/>
        <w:numPr>
          <w:ilvl w:val="0"/>
          <w:numId w:val="10"/>
        </w:numPr>
      </w:pPr>
      <w:r>
        <w:rPr>
          <w:rFonts w:ascii="Calibri" w:hAnsi="Calibri" w:eastAsia="Calibri"/>
          <w:color w:val="1F2937"/>
          <w:sz w:val="22"/>
        </w:rPr>
        <w:t>Last run, actual state, approver, result, exception, and next review</w:t>
      </w:r>
    </w:p>
    <w:p>
      <w:pPr>
        <w:pStyle w:val="Heading1"/>
        <w:keepNext/>
      </w:pPr>
      <w:r>
        <w:t>Privacy and memory</w:t>
      </w:r>
    </w:p>
    <w:tbl>
      <w:tblPr>
        <w:tblW w:type="dxa" w:w="9360"/>
        <w:tblLayout w:type="fixed"/>
        <w:tblLook w:firstColumn="1" w:firstRow="1" w:lastColumn="0" w:lastRow="0" w:noHBand="0" w:noVBand="1" w:val="04A0"/>
        <w:jc w:val="left"/>
        <w:tblInd w:w="120" w:type="dxa"/>
        <w:tblBorders>
          <w:top w:val="single" w:sz="6" w:space="0" w:color="C9D3DD"/>
          <w:left w:val="single" w:sz="6" w:space="0" w:color="C9D3DD"/>
          <w:bottom w:val="single" w:sz="6" w:space="0" w:color="C9D3DD"/>
          <w:right w:val="single" w:sz="6" w:space="0" w:color="C9D3DD"/>
          <w:insideH w:val="single" w:sz="6" w:space="0" w:color="C9D3DD"/>
          <w:insideV w:val="single" w:sz="6" w:space="0" w:color="C9D3DD"/>
        </w:tblBorders>
      </w:tblPr>
      <w:tblGrid>
        <w:gridCol w:w="1600"/>
        <w:gridCol w:w="4400"/>
        <w:gridCol w:w="3360"/>
      </w:tblGrid>
      <w:tr>
        <w:trPr>
          <w:cantSplit/>
          <w:tblHeader w:val="true"/>
          <w:cantSplit/>
        </w:trPr>
        <w:tc>
          <w:tcPr>
            <w:tcW w:type="dxa" w:w="1600"/>
            <w:tcMar>
              <w:top w:w="80" w:type="dxa"/>
              <w:start w:w="120" w:type="dxa"/>
              <w:bottom w:w="80" w:type="dxa"/>
              <w:end w:w="120" w:type="dxa"/>
            </w:tcMar>
            <w:vAlign w:val="center"/>
            <w:shd w:fill="E8EEF5" w:val="clear"/>
          </w:tcPr>
          <w:p>
            <w:pPr>
              <w:spacing w:before="0" w:after="0" w:line="252" w:lineRule="auto"/>
              <w:jc w:val="left"/>
            </w:pPr>
            <w:r/>
            <w:r>
              <w:rPr>
                <w:rFonts w:ascii="Calibri" w:hAnsi="Calibri" w:eastAsia="Calibri"/>
                <w:b/>
                <w:color w:val="123047"/>
                <w:sz w:val="18"/>
              </w:rPr>
              <w:t>Memory zone</w:t>
            </w:r>
          </w:p>
        </w:tc>
        <w:tc>
          <w:tcPr>
            <w:tcW w:type="dxa" w:w="4400"/>
            <w:tcMar>
              <w:top w:w="80" w:type="dxa"/>
              <w:start w:w="120" w:type="dxa"/>
              <w:bottom w:w="80" w:type="dxa"/>
              <w:end w:w="120" w:type="dxa"/>
            </w:tcMar>
            <w:vAlign w:val="center"/>
            <w:shd w:fill="E8EEF5" w:val="clear"/>
          </w:tcPr>
          <w:p>
            <w:pPr>
              <w:spacing w:before="0" w:after="0" w:line="252" w:lineRule="auto"/>
              <w:jc w:val="left"/>
            </w:pPr>
            <w:r/>
            <w:r>
              <w:rPr>
                <w:rFonts w:ascii="Calibri" w:hAnsi="Calibri" w:eastAsia="Calibri"/>
                <w:b/>
                <w:color w:val="123047"/>
                <w:sz w:val="18"/>
              </w:rPr>
              <w:t>Examples</w:t>
            </w:r>
          </w:p>
        </w:tc>
        <w:tc>
          <w:tcPr>
            <w:tcW w:type="dxa" w:w="3360"/>
            <w:tcMar>
              <w:top w:w="80" w:type="dxa"/>
              <w:start w:w="120" w:type="dxa"/>
              <w:bottom w:w="80" w:type="dxa"/>
              <w:end w:w="120" w:type="dxa"/>
            </w:tcMar>
            <w:vAlign w:val="center"/>
            <w:shd w:fill="E8EEF5" w:val="clear"/>
          </w:tcPr>
          <w:p>
            <w:pPr>
              <w:spacing w:before="0" w:after="0" w:line="252" w:lineRule="auto"/>
              <w:jc w:val="left"/>
            </w:pPr>
            <w:r/>
            <w:r>
              <w:rPr>
                <w:rFonts w:ascii="Calibri" w:hAnsi="Calibri" w:eastAsia="Calibri"/>
                <w:b/>
                <w:color w:val="123047"/>
                <w:sz w:val="18"/>
              </w:rPr>
              <w:t>Default</w:t>
            </w:r>
          </w:p>
        </w:tc>
      </w:tr>
      <w:tr>
        <w:trPr>
          <w:cantSplit/>
        </w:trPr>
        <w:tc>
          <w:tcPr>
            <w:tcW w:type="dxa" w:w="160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Green</w:t>
            </w:r>
          </w:p>
        </w:tc>
        <w:tc>
          <w:tcPr>
            <w:tcW w:type="dxa" w:w="440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Preferred name, language, accessibility, tone, mission, low-sensitivity goals</w:t>
            </w:r>
          </w:p>
        </w:tc>
        <w:tc>
          <w:tcPr>
            <w:tcW w:type="dxa" w:w="336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May remember after general approval</w:t>
            </w:r>
          </w:p>
        </w:tc>
      </w:tr>
      <w:tr>
        <w:trPr>
          <w:cantSplit/>
        </w:trPr>
        <w:tc>
          <w:tcPr>
            <w:tcW w:type="dxa" w:w="160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Yellow</w:t>
            </w:r>
          </w:p>
        </w:tc>
        <w:tc>
          <w:tcPr>
            <w:tcW w:type="dxa" w:w="440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Broad schedule, jurisdiction reminder, population focus, credential metadata, career direction</w:t>
            </w:r>
          </w:p>
        </w:tc>
        <w:tc>
          <w:tcPr>
            <w:tcW w:type="dxa" w:w="336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Ask before each category</w:t>
            </w:r>
          </w:p>
        </w:tc>
      </w:tr>
      <w:tr>
        <w:trPr>
          <w:cantSplit/>
        </w:trPr>
        <w:tc>
          <w:tcPr>
            <w:tcW w:type="dxa" w:w="160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Orange</w:t>
            </w:r>
          </w:p>
        </w:tc>
        <w:tc>
          <w:tcPr>
            <w:tcW w:type="dxa" w:w="440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Contract, compensation, conflict, health, family, finance, business, legal, or employment details</w:t>
            </w:r>
          </w:p>
        </w:tc>
        <w:tc>
          <w:tcPr>
            <w:tcW w:type="dxa" w:w="336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Minimal and session-only by default</w:t>
            </w:r>
          </w:p>
        </w:tc>
      </w:tr>
      <w:tr>
        <w:trPr>
          <w:cantSplit/>
        </w:trPr>
        <w:tc>
          <w:tcPr>
            <w:tcW w:type="dxa" w:w="160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Red</w:t>
            </w:r>
          </w:p>
        </w:tc>
        <w:tc>
          <w:tcPr>
            <w:tcW w:type="dxa" w:w="440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PHI, clinical records, passwords, tokens, signatures, authentication, controlled-substance credentials</w:t>
            </w:r>
          </w:p>
        </w:tc>
        <w:tc>
          <w:tcPr>
            <w:tcW w:type="dxa" w:w="336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Never process or store in the personal pack</w:t>
            </w:r>
          </w:p>
        </w:tc>
      </w:tr>
    </w:tbl>
    <w:p>
      <w:pPr>
        <w:spacing w:before="0" w:after="40"/>
      </w:pPr>
    </w:p>
    <w:p>
      <w:pPr>
        <w:spacing w:before="120" w:after="200" w:line="276" w:lineRule="auto"/>
        <w:shd w:fill="FFF4D6"/>
        <w:pBdr>
          <w:left w:val="single" w:sz="18" w:space="8" w:color="B78316"/>
        </w:pBdr>
        <w:ind w:left="180" w:right="120"/>
      </w:pPr>
      <w:r>
        <w:rPr>
          <w:rFonts w:ascii="Calibri" w:hAnsi="Calibri" w:eastAsia="Calibri"/>
          <w:b/>
          <w:color w:val="123047"/>
          <w:sz w:val="22"/>
        </w:rPr>
        <w:t xml:space="preserve">Important: </w:t>
      </w:r>
      <w:r>
        <w:rPr>
          <w:rFonts w:ascii="Calibri" w:hAnsi="Calibri" w:eastAsia="Calibri"/>
          <w:color w:val="1F2937"/>
          <w:sz w:val="22"/>
        </w:rPr>
        <w:t>Removing a patient's name does not necessarily de-identify information. Dates, locations, diagnoses, rare events, free text, and combinations of facts may still identify a person.</w:t>
      </w:r>
    </w:p>
    <w:p>
      <w:pPr>
        <w:pStyle w:val="Heading2"/>
        <w:keepNext/>
      </w:pPr>
      <w:r>
        <w:t>If sensitive information was entered</w:t>
      </w:r>
    </w:p>
    <w:p>
      <w:pPr>
        <w:keepNext/>
        <w:spacing w:before="0" w:after="80" w:line="300" w:lineRule="auto"/>
        <w:numPr>
          <w:ilvl w:val="0"/>
          <w:numId w:val="15"/>
        </w:numPr>
      </w:pPr>
      <w:r>
        <w:rPr>
          <w:rFonts w:ascii="Calibri" w:hAnsi="Calibri" w:eastAsia="Calibri"/>
          <w:color w:val="1F2937"/>
          <w:sz w:val="22"/>
        </w:rPr>
        <w:t>Stop the workflow and do not copy or spread the information further.</w:t>
      </w:r>
    </w:p>
    <w:p>
      <w:pPr>
        <w:keepNext/>
        <w:spacing w:before="0" w:after="80" w:line="300" w:lineRule="auto"/>
        <w:numPr>
          <w:ilvl w:val="0"/>
          <w:numId w:val="15"/>
        </w:numPr>
      </w:pPr>
      <w:r>
        <w:rPr>
          <w:rFonts w:ascii="Calibri" w:hAnsi="Calibri" w:eastAsia="Calibri"/>
          <w:color w:val="1F2937"/>
          <w:sz w:val="22"/>
        </w:rPr>
        <w:t>Pause related memory, connectors, and automations.</w:t>
      </w:r>
    </w:p>
    <w:p>
      <w:pPr>
        <w:keepNext/>
        <w:spacing w:before="0" w:after="80" w:line="300" w:lineRule="auto"/>
        <w:numPr>
          <w:ilvl w:val="0"/>
          <w:numId w:val="15"/>
        </w:numPr>
      </w:pPr>
      <w:r>
        <w:rPr>
          <w:rFonts w:ascii="Calibri" w:hAnsi="Calibri" w:eastAsia="Calibri"/>
          <w:color w:val="1F2937"/>
          <w:sz w:val="22"/>
        </w:rPr>
        <w:t>Follow the authorized privacy, security, employer, and reporting process.</w:t>
      </w:r>
    </w:p>
    <w:p>
      <w:pPr>
        <w:keepNext/>
        <w:spacing w:before="0" w:after="80" w:line="300" w:lineRule="auto"/>
        <w:numPr>
          <w:ilvl w:val="0"/>
          <w:numId w:val="15"/>
        </w:numPr>
      </w:pPr>
      <w:r>
        <w:rPr>
          <w:rFonts w:ascii="Calibri" w:hAnsi="Calibri" w:eastAsia="Calibri"/>
          <w:color w:val="1F2937"/>
          <w:sz w:val="22"/>
        </w:rPr>
        <w:t>Do not assume deleting a chat ends the incident.</w:t>
      </w:r>
    </w:p>
    <w:p>
      <w:pPr>
        <w:spacing w:before="0" w:after="80" w:line="300" w:lineRule="auto"/>
        <w:numPr>
          <w:ilvl w:val="0"/>
          <w:numId w:val="15"/>
        </w:numPr>
      </w:pPr>
      <w:r>
        <w:rPr>
          <w:rFonts w:ascii="Calibri" w:hAnsi="Calibri" w:eastAsia="Calibri"/>
          <w:color w:val="1F2937"/>
          <w:sz w:val="22"/>
        </w:rPr>
        <w:t>Record what occurred honestly through the approved process and follow authorized remediation guidance.</w:t>
      </w:r>
    </w:p>
    <w:p>
      <w:pPr>
        <w:pStyle w:val="Heading1"/>
        <w:keepNext/>
      </w:pPr>
      <w:r>
        <w:t>Troubleshooting</w:t>
      </w:r>
    </w:p>
    <w:tbl>
      <w:tblPr>
        <w:tblW w:type="dxa" w:w="9360"/>
        <w:tblLayout w:type="fixed"/>
        <w:tblLook w:firstColumn="1" w:firstRow="1" w:lastColumn="0" w:lastRow="0" w:noHBand="0" w:noVBand="1" w:val="04A0"/>
        <w:jc w:val="left"/>
        <w:tblInd w:w="120" w:type="dxa"/>
        <w:tblBorders>
          <w:top w:val="single" w:sz="6" w:space="0" w:color="C9D3DD"/>
          <w:left w:val="single" w:sz="6" w:space="0" w:color="C9D3DD"/>
          <w:bottom w:val="single" w:sz="6" w:space="0" w:color="C9D3DD"/>
          <w:right w:val="single" w:sz="6" w:space="0" w:color="C9D3DD"/>
          <w:insideH w:val="single" w:sz="6" w:space="0" w:color="C9D3DD"/>
          <w:insideV w:val="single" w:sz="6" w:space="0" w:color="C9D3DD"/>
        </w:tblBorders>
      </w:tblPr>
      <w:tblGrid>
        <w:gridCol w:w="2600"/>
        <w:gridCol w:w="6760"/>
      </w:tblGrid>
      <w:tr>
        <w:trPr>
          <w:cantSplit/>
          <w:tblHeader w:val="true"/>
          <w:cantSplit/>
        </w:trPr>
        <w:tc>
          <w:tcPr>
            <w:tcW w:type="dxa" w:w="2600"/>
            <w:tcMar>
              <w:top w:w="80" w:type="dxa"/>
              <w:start w:w="120" w:type="dxa"/>
              <w:bottom w:w="80" w:type="dxa"/>
              <w:end w:w="120" w:type="dxa"/>
            </w:tcMar>
            <w:vAlign w:val="center"/>
            <w:shd w:fill="E8EEF5" w:val="clear"/>
          </w:tcPr>
          <w:p>
            <w:pPr>
              <w:spacing w:before="0" w:after="0" w:line="252" w:lineRule="auto"/>
              <w:jc w:val="left"/>
            </w:pPr>
            <w:r/>
            <w:r>
              <w:rPr>
                <w:rFonts w:ascii="Calibri" w:hAnsi="Calibri" w:eastAsia="Calibri"/>
                <w:b/>
                <w:color w:val="123047"/>
                <w:sz w:val="18"/>
              </w:rPr>
              <w:t>Problem</w:t>
            </w:r>
          </w:p>
        </w:tc>
        <w:tc>
          <w:tcPr>
            <w:tcW w:type="dxa" w:w="6760"/>
            <w:tcMar>
              <w:top w:w="80" w:type="dxa"/>
              <w:start w:w="120" w:type="dxa"/>
              <w:bottom w:w="80" w:type="dxa"/>
              <w:end w:w="120" w:type="dxa"/>
            </w:tcMar>
            <w:vAlign w:val="center"/>
            <w:shd w:fill="E8EEF5" w:val="clear"/>
          </w:tcPr>
          <w:p>
            <w:pPr>
              <w:spacing w:before="0" w:after="0" w:line="252" w:lineRule="auto"/>
              <w:jc w:val="left"/>
            </w:pPr>
            <w:r/>
            <w:r>
              <w:rPr>
                <w:rFonts w:ascii="Calibri" w:hAnsi="Calibri" w:eastAsia="Calibri"/>
                <w:b/>
                <w:color w:val="123047"/>
                <w:sz w:val="18"/>
              </w:rPr>
              <w:t>What to do</w:t>
            </w:r>
          </w:p>
        </w:tc>
      </w:tr>
      <w:tr>
        <w:trPr>
          <w:cantSplit/>
        </w:trPr>
        <w:tc>
          <w:tcPr>
            <w:tcW w:type="dxa" w:w="260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Answer is confident but unsupported</w:t>
            </w:r>
          </w:p>
        </w:tc>
        <w:tc>
          <w:tcPr>
            <w:tcW w:type="dxa" w:w="676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Stop. Request current sources and dates. Open and verify each source.</w:t>
            </w:r>
          </w:p>
        </w:tc>
      </w:tr>
      <w:tr>
        <w:trPr>
          <w:cantSplit/>
        </w:trPr>
        <w:tc>
          <w:tcPr>
            <w:tcW w:type="dxa" w:w="260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Citation is false or irrelevant</w:t>
            </w:r>
          </w:p>
        </w:tc>
        <w:tc>
          <w:tcPr>
            <w:tcW w:type="dxa" w:w="676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Discard the unsupported result and restart from verified material.</w:t>
            </w:r>
          </w:p>
        </w:tc>
      </w:tr>
      <w:tr>
        <w:trPr>
          <w:cantSplit/>
        </w:trPr>
        <w:tc>
          <w:tcPr>
            <w:tcW w:type="dxa" w:w="260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Output sounds generic</w:t>
            </w:r>
          </w:p>
        </w:tc>
        <w:tc>
          <w:tcPr>
            <w:tcW w:type="dxa" w:w="676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Run Make This Human with your audience, purpose, voice, facts, and phrases to preserve.</w:t>
            </w:r>
          </w:p>
        </w:tc>
      </w:tr>
      <w:tr>
        <w:trPr>
          <w:cantSplit/>
        </w:trPr>
        <w:tc>
          <w:tcPr>
            <w:tcW w:type="dxa" w:w="260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Dashboard feels overwhelming</w:t>
            </w:r>
          </w:p>
        </w:tc>
        <w:tc>
          <w:tcPr>
            <w:tcW w:type="dxa" w:w="676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Reset to the Core Four and switch to Standard, Minimum, or Recovery Mode.</w:t>
            </w:r>
          </w:p>
        </w:tc>
      </w:tr>
      <w:tr>
        <w:trPr>
          <w:cantSplit/>
        </w:trPr>
        <w:tc>
          <w:tcPr>
            <w:tcW w:type="dxa" w:w="260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Credential status is unclear</w:t>
            </w:r>
          </w:p>
        </w:tc>
        <w:tc>
          <w:tcPr>
            <w:tcW w:type="dxa" w:w="676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Mark Unknown; open the official portal or contact the responsible authority.</w:t>
            </w:r>
          </w:p>
        </w:tc>
      </w:tr>
      <w:tr>
        <w:trPr>
          <w:cantSplit/>
        </w:trPr>
        <w:tc>
          <w:tcPr>
            <w:tcW w:type="dxa" w:w="260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Workflow crossed a clinical boundary</w:t>
            </w:r>
          </w:p>
        </w:tc>
        <w:tc>
          <w:tcPr>
            <w:tcW w:type="dxa" w:w="676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Do not act. Return to the approved clinical system and follow policy if review or reporting is needed.</w:t>
            </w:r>
          </w:p>
        </w:tc>
      </w:tr>
      <w:tr>
        <w:trPr>
          <w:cantSplit/>
        </w:trPr>
        <w:tc>
          <w:tcPr>
            <w:tcW w:type="dxa" w:w="260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Automation failed</w:t>
            </w:r>
          </w:p>
        </w:tc>
        <w:tc>
          <w:tcPr>
            <w:tcW w:type="dxa" w:w="676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Pause it, inspect the receipt and destination, return to Manual or Preview, correct the source, and retest.</w:t>
            </w:r>
          </w:p>
        </w:tc>
      </w:tr>
      <w:tr>
        <w:trPr>
          <w:cantSplit/>
        </w:trPr>
        <w:tc>
          <w:tcPr>
            <w:tcW w:type="dxa" w:w="260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Advice sounds legally or financially certain</w:t>
            </w:r>
          </w:p>
        </w:tc>
        <w:tc>
          <w:tcPr>
            <w:tcW w:type="dxa" w:w="676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Convert it into questions for the appropriate qualified professional.</w:t>
            </w:r>
          </w:p>
        </w:tc>
      </w:tr>
      <w:tr>
        <w:trPr>
          <w:cantSplit/>
        </w:trPr>
        <w:tc>
          <w:tcPr>
            <w:tcW w:type="dxa" w:w="260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Work keeps consuming recovery</w:t>
            </w:r>
          </w:p>
        </w:tc>
        <w:tc>
          <w:tcPr>
            <w:tcW w:type="dxa" w:w="676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Use separate contexts, Minimum Mode, quiet hours, a shutdown ritual, and a protected stop boundary.</w:t>
            </w:r>
          </w:p>
        </w:tc>
      </w:tr>
      <w:tr>
        <w:trPr>
          <w:cantSplit/>
        </w:trPr>
        <w:tc>
          <w:tcPr>
            <w:tcW w:type="dxa" w:w="260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System is unavailable</w:t>
            </w:r>
          </w:p>
        </w:tc>
        <w:tc>
          <w:tcPr>
            <w:tcW w:type="dxa" w:w="676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Continue from official systems and manual checklists; Hermes must never be a single point of failure.</w:t>
            </w:r>
          </w:p>
        </w:tc>
      </w:tr>
    </w:tbl>
    <w:p>
      <w:pPr>
        <w:spacing w:before="0" w:after="40"/>
      </w:pPr>
    </w:p>
    <w:p>
      <w:pPr>
        <w:pStyle w:val="Heading1"/>
        <w:keepNext/>
      </w:pPr>
      <w:r>
        <w:t>Frequently asked questions</w:t>
      </w:r>
    </w:p>
    <w:p>
      <w:pPr>
        <w:pStyle w:val="Heading2"/>
        <w:keepNext/>
      </w:pPr>
      <w:r>
        <w:t>Can I use Hermes with real patients?</w:t>
      </w:r>
    </w:p>
    <w:p>
      <w:pPr/>
      <w:r>
        <w:rPr>
          <w:rFonts w:ascii="Calibri" w:hAnsi="Calibri" w:eastAsia="Calibri"/>
          <w:i w:val="0"/>
          <w:color w:val="1F2937"/>
          <w:sz w:val="22"/>
        </w:rPr>
        <w:t>Not through this personal pack. Patient information requires the exact system, contract, configuration, data types, policy, security, governance, and workflow to be formally approved by the responsible organization.</w:t>
      </w:r>
    </w:p>
    <w:p>
      <w:pPr>
        <w:pStyle w:val="Heading2"/>
        <w:keepNext/>
      </w:pPr>
      <w:r>
        <w:t>Can it diagnose, prescribe, or recommend treatment?</w:t>
      </w:r>
    </w:p>
    <w:p>
      <w:pPr/>
      <w:r>
        <w:rPr>
          <w:rFonts w:ascii="Calibri" w:hAnsi="Calibri" w:eastAsia="Calibri"/>
          <w:i w:val="0"/>
          <w:color w:val="1F2937"/>
          <w:sz w:val="22"/>
        </w:rPr>
        <w:t>It can support generic learning and evidence preparation. Patient-specific diagnosis, treatment, prescribing, orders, and emergency decisions remain outside this pack.</w:t>
      </w:r>
    </w:p>
    <w:p>
      <w:pPr>
        <w:pStyle w:val="Heading2"/>
        <w:keepNext/>
      </w:pPr>
      <w:r>
        <w:t>Can I paste a chart if I remove the name?</w:t>
      </w:r>
    </w:p>
    <w:p>
      <w:pPr/>
      <w:r>
        <w:rPr>
          <w:rFonts w:ascii="Calibri" w:hAnsi="Calibri" w:eastAsia="Calibri"/>
          <w:i w:val="0"/>
          <w:color w:val="1F2937"/>
          <w:sz w:val="22"/>
        </w:rPr>
        <w:t>No. Removing a name may not adequately de-identify the information.</w:t>
      </w:r>
    </w:p>
    <w:p>
      <w:pPr>
        <w:pStyle w:val="Heading2"/>
        <w:keepNext/>
      </w:pPr>
      <w:r>
        <w:t>Does Hermes know my legal scope?</w:t>
      </w:r>
    </w:p>
    <w:p>
      <w:pPr/>
      <w:r>
        <w:rPr>
          <w:rFonts w:ascii="Calibri" w:hAnsi="Calibri" w:eastAsia="Calibri"/>
          <w:i w:val="0"/>
          <w:color w:val="1F2937"/>
          <w:sz w:val="22"/>
        </w:rPr>
        <w:t>It can help locate and organize current information. It cannot guarantee applicability or issue a final determination. Verify through official regulatory, certification, credentialing, privilege, employer, payer, and legal sources.</w:t>
      </w:r>
    </w:p>
    <w:p>
      <w:pPr>
        <w:pStyle w:val="Heading2"/>
        <w:keepNext/>
      </w:pPr>
      <w:r>
        <w:t>Can it track CE and renewals?</w:t>
      </w:r>
    </w:p>
    <w:p>
      <w:pPr/>
      <w:r>
        <w:rPr>
          <w:rFonts w:ascii="Calibri" w:hAnsi="Calibri" w:eastAsia="Calibri"/>
          <w:i w:val="0"/>
          <w:color w:val="1F2937"/>
          <w:sz w:val="22"/>
        </w:rPr>
        <w:t>Yes, as a private reminder and preparation system. The board, certifier, employer, medical-staff office, payer, and official portal remain authoritative.</w:t>
      </w:r>
    </w:p>
    <w:p>
      <w:pPr>
        <w:pStyle w:val="Heading2"/>
        <w:keepNext/>
      </w:pPr>
      <w:r>
        <w:t>Can it help with a job offer or contract?</w:t>
      </w:r>
    </w:p>
    <w:p>
      <w:pPr/>
      <w:r>
        <w:rPr>
          <w:rFonts w:ascii="Calibri" w:hAnsi="Calibri" w:eastAsia="Calibri"/>
          <w:i w:val="0"/>
          <w:color w:val="1F2937"/>
          <w:sz w:val="22"/>
        </w:rPr>
        <w:t>Yes, by separating verified terms, assumptions, life effects, risks, and advisor questions. It does not provide legal advice, accept an offer, or predict financial results.</w:t>
      </w:r>
    </w:p>
    <w:p>
      <w:pPr>
        <w:pStyle w:val="Heading2"/>
        <w:keepNext/>
      </w:pPr>
      <w:r>
        <w:t>Can it help me start a practice, consultancy, or community project?</w:t>
      </w:r>
    </w:p>
    <w:p>
      <w:pPr/>
      <w:r>
        <w:rPr>
          <w:rFonts w:ascii="Calibri" w:hAnsi="Calibri" w:eastAsia="Calibri"/>
          <w:i w:val="0"/>
          <w:color w:val="1F2937"/>
          <w:sz w:val="22"/>
        </w:rPr>
        <w:t>Yes, with research, planning, ethical experiments, communication, and question preparation. Legal, tax, privacy, insurance, billing, financing, and regulatory decisions require qualified professionals.</w:t>
      </w:r>
    </w:p>
    <w:p>
      <w:pPr>
        <w:pStyle w:val="Heading2"/>
        <w:keepNext/>
      </w:pPr>
      <w:r>
        <w:t>Will it weaken my judgment?</w:t>
      </w:r>
    </w:p>
    <w:p>
      <w:pPr/>
      <w:r>
        <w:rPr>
          <w:rFonts w:ascii="Calibri" w:hAnsi="Calibri" w:eastAsia="Calibri"/>
          <w:i w:val="0"/>
          <w:color w:val="1F2937"/>
          <w:sz w:val="22"/>
        </w:rPr>
        <w:t>Use it deliberately: form your own assessment, request counterarguments, verify sources, practice without AI, and review whether each workflow strengthens or weakens independent thinking.</w:t>
      </w:r>
    </w:p>
    <w:p>
      <w:pPr>
        <w:pStyle w:val="Heading2"/>
        <w:keepNext/>
      </w:pPr>
      <w:r>
        <w:t>What if I cannot manage another system?</w:t>
      </w:r>
    </w:p>
    <w:p>
      <w:pPr/>
      <w:r>
        <w:rPr>
          <w:rFonts w:ascii="Calibri" w:hAnsi="Calibri" w:eastAsia="Calibri"/>
          <w:i w:val="0"/>
          <w:color w:val="1F2937"/>
          <w:sz w:val="22"/>
        </w:rPr>
        <w:t>Use Minimum Mode: one essential task, one personal protection, one capture point, and no new automation.</w:t>
      </w:r>
    </w:p>
    <w:p>
      <w:pPr>
        <w:pStyle w:val="Heading2"/>
        <w:keepNext/>
      </w:pPr>
      <w:r>
        <w:t>Can I disagree with the output?</w:t>
      </w:r>
    </w:p>
    <w:p>
      <w:pPr/>
      <w:r>
        <w:rPr>
          <w:rFonts w:ascii="Calibri" w:hAnsi="Calibri" w:eastAsia="Calibri"/>
          <w:i w:val="0"/>
          <w:color w:val="1F2937"/>
          <w:sz w:val="22"/>
        </w:rPr>
        <w:t>Yes. Reject it, explain why, correct or forget it, and revise or retire the workflow. Disagreement is a healthy control.</w:t>
      </w:r>
    </w:p>
    <w:p>
      <w:pPr>
        <w:pStyle w:val="Heading1"/>
        <w:keepNext/>
      </w:pPr>
      <w:r>
        <w:t>Starter command library</w:t>
      </w:r>
    </w:p>
    <w:p>
      <w:pPr>
        <w:pStyle w:val="Heading2"/>
        <w:keepNext/>
      </w:pPr>
      <w:r>
        <w:t>Setup and planning</w:t>
      </w:r>
    </w:p>
    <w:p>
      <w:pPr>
        <w:spacing w:before="0" w:after="80" w:line="300" w:lineRule="auto"/>
        <w:numPr>
          <w:ilvl w:val="0"/>
          <w:numId w:val="10"/>
        </w:numPr>
      </w:pPr>
      <w:r>
        <w:rPr>
          <w:rFonts w:ascii="Calibri" w:hAnsi="Calibri" w:eastAsia="Calibri"/>
          <w:color w:val="1F2937"/>
          <w:sz w:val="22"/>
        </w:rPr>
        <w:t>“Help me define a two-lane North Star for professional growth and life. Ask one question at a time.”</w:t>
      </w:r>
    </w:p>
    <w:p>
      <w:pPr>
        <w:spacing w:before="0" w:after="80" w:line="300" w:lineRule="auto"/>
        <w:numPr>
          <w:ilvl w:val="0"/>
          <w:numId w:val="10"/>
        </w:numPr>
      </w:pPr>
      <w:r>
        <w:rPr>
          <w:rFonts w:ascii="Calibri" w:hAnsi="Calibri" w:eastAsia="Calibri"/>
          <w:color w:val="1F2937"/>
          <w:sz w:val="22"/>
        </w:rPr>
        <w:t>“Create a May Remember and Do Not Remember list for a no-PHI NP workspace.”</w:t>
      </w:r>
    </w:p>
    <w:p>
      <w:pPr>
        <w:spacing w:before="0" w:after="80" w:line="300" w:lineRule="auto"/>
        <w:numPr>
          <w:ilvl w:val="0"/>
          <w:numId w:val="10"/>
        </w:numPr>
      </w:pPr>
      <w:r>
        <w:rPr>
          <w:rFonts w:ascii="Calibri" w:hAnsi="Calibri" w:eastAsia="Calibri"/>
          <w:color w:val="1F2937"/>
          <w:sz w:val="22"/>
        </w:rPr>
        <w:t>“Build a realistic day around my calendar, capacity, recovery, one professional outcome, and one life-protecting action.”</w:t>
      </w:r>
    </w:p>
    <w:p>
      <w:pPr>
        <w:spacing w:before="0" w:after="80" w:line="300" w:lineRule="auto"/>
        <w:numPr>
          <w:ilvl w:val="0"/>
          <w:numId w:val="10"/>
        </w:numPr>
      </w:pPr>
      <w:r>
        <w:rPr>
          <w:rFonts w:ascii="Calibri" w:hAnsi="Calibri" w:eastAsia="Calibri"/>
          <w:color w:val="1F2937"/>
          <w:sz w:val="22"/>
        </w:rPr>
        <w:t>“I am in Minimum Mode. Help me keep one essential task, one personal protection, and one thing I can defer.”</w:t>
      </w:r>
    </w:p>
    <w:p>
      <w:pPr>
        <w:pStyle w:val="Heading2"/>
        <w:keepNext/>
      </w:pPr>
      <w:r>
        <w:t>Practice authority and evidence</w:t>
      </w:r>
    </w:p>
    <w:p>
      <w:pPr>
        <w:spacing w:before="0" w:after="80" w:line="300" w:lineRule="auto"/>
        <w:numPr>
          <w:ilvl w:val="0"/>
          <w:numId w:val="10"/>
        </w:numPr>
      </w:pPr>
      <w:r>
        <w:rPr>
          <w:rFonts w:ascii="Calibri" w:hAnsi="Calibri" w:eastAsia="Calibri"/>
          <w:color w:val="1F2937"/>
          <w:sz w:val="22"/>
        </w:rPr>
        <w:t>“Run the seven-gate Practice Boundary Check on this generic question. Do not make a legal or patient-specific determination.”</w:t>
      </w:r>
    </w:p>
    <w:p>
      <w:pPr>
        <w:spacing w:before="0" w:after="80" w:line="300" w:lineRule="auto"/>
        <w:numPr>
          <w:ilvl w:val="0"/>
          <w:numId w:val="10"/>
        </w:numPr>
      </w:pPr>
      <w:r>
        <w:rPr>
          <w:rFonts w:ascii="Calibri" w:hAnsi="Calibri" w:eastAsia="Calibri"/>
          <w:color w:val="1F2937"/>
          <w:sz w:val="22"/>
        </w:rPr>
        <w:t>“Turn this public guideline into a professional learning brief with source, date, population, setting, limitations, conflicts, and local verification.”</w:t>
      </w:r>
    </w:p>
    <w:p>
      <w:pPr>
        <w:spacing w:before="0" w:after="80" w:line="300" w:lineRule="auto"/>
        <w:numPr>
          <w:ilvl w:val="0"/>
          <w:numId w:val="10"/>
        </w:numPr>
      </w:pPr>
      <w:r>
        <w:rPr>
          <w:rFonts w:ascii="Calibri" w:hAnsi="Calibri" w:eastAsia="Calibri"/>
          <w:color w:val="1F2937"/>
          <w:sz w:val="22"/>
        </w:rPr>
        <w:t>“Compare these authoritative sources. Separate agreement, disagreement, uncertainty, and what may have changed.”</w:t>
      </w:r>
    </w:p>
    <w:p>
      <w:pPr>
        <w:spacing w:before="0" w:after="80" w:line="300" w:lineRule="auto"/>
        <w:numPr>
          <w:ilvl w:val="0"/>
          <w:numId w:val="10"/>
        </w:numPr>
      </w:pPr>
      <w:r>
        <w:rPr>
          <w:rFonts w:ascii="Calibri" w:hAnsi="Calibri" w:eastAsia="Calibri"/>
          <w:color w:val="1F2937"/>
          <w:sz w:val="22"/>
        </w:rPr>
        <w:t>“Audit this draft for unsupported claims, privacy risk, scope concerns, stale evidence, and overstated certainty.”</w:t>
      </w:r>
    </w:p>
    <w:p>
      <w:pPr>
        <w:pStyle w:val="Heading2"/>
        <w:keepNext/>
      </w:pPr>
      <w:r>
        <w:t>Career, leadership, enterprise, and life</w:t>
      </w:r>
    </w:p>
    <w:p>
      <w:pPr>
        <w:spacing w:before="0" w:after="80" w:line="300" w:lineRule="auto"/>
        <w:numPr>
          <w:ilvl w:val="0"/>
          <w:numId w:val="10"/>
        </w:numPr>
      </w:pPr>
      <w:r>
        <w:rPr>
          <w:rFonts w:ascii="Calibri" w:hAnsi="Calibri" w:eastAsia="Calibri"/>
          <w:color w:val="1F2937"/>
          <w:sz w:val="22"/>
        </w:rPr>
        <w:t>“Map a 12-month development plan around my population focus, current role, desired direction, and available capacity.”</w:t>
      </w:r>
    </w:p>
    <w:p>
      <w:pPr>
        <w:spacing w:before="0" w:after="80" w:line="300" w:lineRule="auto"/>
        <w:numPr>
          <w:ilvl w:val="0"/>
          <w:numId w:val="10"/>
        </w:numPr>
      </w:pPr>
      <w:r>
        <w:rPr>
          <w:rFonts w:ascii="Calibri" w:hAnsi="Calibri" w:eastAsia="Calibri"/>
          <w:color w:val="1F2937"/>
          <w:sz w:val="22"/>
        </w:rPr>
        <w:t>“Prepare a workload or compensation conversation. Separate verified facts from assumptions and create questions I should ask.”</w:t>
      </w:r>
    </w:p>
    <w:p>
      <w:pPr>
        <w:spacing w:before="0" w:after="80" w:line="300" w:lineRule="auto"/>
        <w:numPr>
          <w:ilvl w:val="0"/>
          <w:numId w:val="10"/>
        </w:numPr>
      </w:pPr>
      <w:r>
        <w:rPr>
          <w:rFonts w:ascii="Calibri" w:hAnsi="Calibri" w:eastAsia="Calibri"/>
          <w:color w:val="1F2937"/>
          <w:sz w:val="22"/>
        </w:rPr>
        <w:t>“Stress-test this nonclinical venture idea. Identify the problem, smallest ethical experiment, capacity cost, and questions for qualified advisors.”</w:t>
      </w:r>
    </w:p>
    <w:p>
      <w:pPr>
        <w:spacing w:before="0" w:after="80" w:line="300" w:lineRule="auto"/>
        <w:numPr>
          <w:ilvl w:val="0"/>
          <w:numId w:val="10"/>
        </w:numPr>
      </w:pPr>
      <w:r>
        <w:rPr>
          <w:rFonts w:ascii="Calibri" w:hAnsi="Calibri" w:eastAsia="Calibri"/>
          <w:color w:val="1F2937"/>
          <w:sz w:val="22"/>
        </w:rPr>
        <w:t>“Design a recovery plan around my actual schedule. Protect sleep, relationships, meals, movement, and one activity with no productivity purpose.”</w:t>
      </w:r>
    </w:p>
    <w:p>
      <w:pPr>
        <w:spacing w:before="0" w:after="80" w:line="300" w:lineRule="auto"/>
        <w:numPr>
          <w:ilvl w:val="0"/>
          <w:numId w:val="10"/>
        </w:numPr>
      </w:pPr>
      <w:r>
        <w:rPr>
          <w:rFonts w:ascii="Calibri" w:hAnsi="Calibri" w:eastAsia="Calibri"/>
          <w:color w:val="1F2937"/>
          <w:sz w:val="22"/>
        </w:rPr>
        <w:t>“Help me map possible futures if I reduce clinical hours or build a portfolio career.”</w:t>
      </w:r>
    </w:p>
    <w:p>
      <w:pPr>
        <w:pStyle w:val="Heading1"/>
        <w:keepNext/>
      </w:pPr>
      <w:r>
        <w:t>Final activation checklist</w:t>
      </w:r>
    </w:p>
    <w:p>
      <w:pPr>
        <w:pStyle w:val="Heading2"/>
        <w:keepNext/>
      </w:pPr>
      <w:r>
        <w:t>Before activation</w:t>
      </w:r>
    </w:p>
    <w:p>
      <w:pPr>
        <w:spacing w:before="0" w:after="80" w:line="300" w:lineRule="auto"/>
        <w:numPr>
          <w:ilvl w:val="0"/>
          <w:numId w:val="10"/>
        </w:numPr>
      </w:pPr>
      <w:r>
        <w:rPr>
          <w:rFonts w:ascii="Calibri" w:hAnsi="Calibri" w:eastAsia="Calibri"/>
          <w:color w:val="1F2937"/>
          <w:sz w:val="22"/>
        </w:rPr>
        <w:t>I read and accepted the NP Power Contract.</w:t>
      </w:r>
    </w:p>
    <w:p>
      <w:pPr>
        <w:spacing w:before="0" w:after="80" w:line="300" w:lineRule="auto"/>
        <w:numPr>
          <w:ilvl w:val="0"/>
          <w:numId w:val="10"/>
        </w:numPr>
      </w:pPr>
      <w:r>
        <w:rPr>
          <w:rFonts w:ascii="Calibri" w:hAnsi="Calibri" w:eastAsia="Calibri"/>
          <w:color w:val="1F2937"/>
          <w:sz w:val="22"/>
        </w:rPr>
        <w:t>I selected a personal no-PHI or formally approved environment.</w:t>
      </w:r>
    </w:p>
    <w:p>
      <w:pPr>
        <w:spacing w:before="0" w:after="80" w:line="300" w:lineRule="auto"/>
        <w:numPr>
          <w:ilvl w:val="0"/>
          <w:numId w:val="10"/>
        </w:numPr>
      </w:pPr>
      <w:r>
        <w:rPr>
          <w:rFonts w:ascii="Calibri" w:hAnsi="Calibri" w:eastAsia="Calibri"/>
          <w:color w:val="1F2937"/>
          <w:sz w:val="22"/>
        </w:rPr>
        <w:t>I defined my professional and life North Star and no more than three 90-day outcomes.</w:t>
      </w:r>
    </w:p>
    <w:p>
      <w:pPr>
        <w:spacing w:before="0" w:after="80" w:line="300" w:lineRule="auto"/>
        <w:numPr>
          <w:ilvl w:val="0"/>
          <w:numId w:val="10"/>
        </w:numPr>
      </w:pPr>
      <w:r>
        <w:rPr>
          <w:rFonts w:ascii="Calibri" w:hAnsi="Calibri" w:eastAsia="Calibri"/>
          <w:color w:val="1F2937"/>
          <w:sz w:val="22"/>
        </w:rPr>
        <w:t>I created May Remember, Session Only, and Never Remember lists.</w:t>
      </w:r>
    </w:p>
    <w:p>
      <w:pPr>
        <w:spacing w:before="0" w:after="80" w:line="300" w:lineRule="auto"/>
        <w:numPr>
          <w:ilvl w:val="0"/>
          <w:numId w:val="10"/>
        </w:numPr>
      </w:pPr>
      <w:r>
        <w:rPr>
          <w:rFonts w:ascii="Calibri" w:hAnsi="Calibri" w:eastAsia="Calibri"/>
          <w:color w:val="1F2937"/>
          <w:sz w:val="22"/>
        </w:rPr>
        <w:t>I confirmed that patient information, secrets, clinical credentials, and unauthorized employer material are excluded.</w:t>
      </w:r>
    </w:p>
    <w:p>
      <w:pPr>
        <w:spacing w:before="0" w:after="80" w:line="300" w:lineRule="auto"/>
        <w:numPr>
          <w:ilvl w:val="0"/>
          <w:numId w:val="10"/>
        </w:numPr>
      </w:pPr>
      <w:r>
        <w:rPr>
          <w:rFonts w:ascii="Calibri" w:hAnsi="Calibri" w:eastAsia="Calibri"/>
          <w:color w:val="1F2937"/>
          <w:sz w:val="22"/>
        </w:rPr>
        <w:t>I kept EHR, prescribing, billing, credentialing, payer, and patient messaging disconnected by default.</w:t>
      </w:r>
    </w:p>
    <w:p>
      <w:pPr>
        <w:spacing w:before="0" w:after="80" w:line="300" w:lineRule="auto"/>
        <w:numPr>
          <w:ilvl w:val="0"/>
          <w:numId w:val="10"/>
        </w:numPr>
      </w:pPr>
      <w:r>
        <w:rPr>
          <w:rFonts w:ascii="Calibri" w:hAnsi="Calibri" w:eastAsia="Calibri"/>
          <w:color w:val="1F2937"/>
          <w:sz w:val="22"/>
        </w:rPr>
        <w:t>I applied least-privilege permissions and activated Preview, Privacy &amp; Permissions, receipts, and Pause All.</w:t>
      </w:r>
    </w:p>
    <w:p>
      <w:pPr>
        <w:spacing w:before="0" w:after="80" w:line="300" w:lineRule="auto"/>
        <w:numPr>
          <w:ilvl w:val="0"/>
          <w:numId w:val="10"/>
        </w:numPr>
      </w:pPr>
      <w:r>
        <w:rPr>
          <w:rFonts w:ascii="Calibri" w:hAnsi="Calibri" w:eastAsia="Calibri"/>
          <w:color w:val="1F2937"/>
          <w:sz w:val="22"/>
        </w:rPr>
        <w:t>I selected the Core Four launchers and scheduled weekly and monthly reviews.</w:t>
      </w:r>
    </w:p>
    <w:p>
      <w:pPr>
        <w:pStyle w:val="Heading2"/>
        <w:keepNext/>
      </w:pPr>
      <w:r>
        <w:t>Before trusting a workflow</w:t>
      </w:r>
    </w:p>
    <w:p>
      <w:pPr>
        <w:spacing w:before="0" w:after="80" w:line="300" w:lineRule="auto"/>
        <w:numPr>
          <w:ilvl w:val="0"/>
          <w:numId w:val="10"/>
        </w:numPr>
      </w:pPr>
      <w:r>
        <w:rPr>
          <w:rFonts w:ascii="Calibri" w:hAnsi="Calibri" w:eastAsia="Calibri"/>
          <w:color w:val="1F2937"/>
          <w:sz w:val="22"/>
        </w:rPr>
        <w:t>I tested it with harmless information and reviewed three supervised runs.</w:t>
      </w:r>
    </w:p>
    <w:p>
      <w:pPr>
        <w:spacing w:before="0" w:after="80" w:line="300" w:lineRule="auto"/>
        <w:numPr>
          <w:ilvl w:val="0"/>
          <w:numId w:val="10"/>
        </w:numPr>
      </w:pPr>
      <w:r>
        <w:rPr>
          <w:rFonts w:ascii="Calibri" w:hAnsi="Calibri" w:eastAsia="Calibri"/>
          <w:color w:val="1F2937"/>
          <w:sz w:val="22"/>
        </w:rPr>
        <w:t>I verified its sources, dates, assumptions, data, permissions, destination, and owner.</w:t>
      </w:r>
    </w:p>
    <w:p>
      <w:pPr>
        <w:spacing w:before="0" w:after="80" w:line="300" w:lineRule="auto"/>
        <w:numPr>
          <w:ilvl w:val="0"/>
          <w:numId w:val="10"/>
        </w:numPr>
      </w:pPr>
      <w:r>
        <w:rPr>
          <w:rFonts w:ascii="Calibri" w:hAnsi="Calibri" w:eastAsia="Calibri"/>
          <w:color w:val="1F2937"/>
          <w:sz w:val="22"/>
        </w:rPr>
        <w:t>I know what it may and may not do, how to stop it, and how to recover it.</w:t>
      </w:r>
    </w:p>
    <w:p>
      <w:pPr>
        <w:spacing w:before="0" w:after="80" w:line="300" w:lineRule="auto"/>
        <w:numPr>
          <w:ilvl w:val="0"/>
          <w:numId w:val="10"/>
        </w:numPr>
      </w:pPr>
      <w:r>
        <w:rPr>
          <w:rFonts w:ascii="Calibri" w:hAnsi="Calibri" w:eastAsia="Calibri"/>
          <w:color w:val="1F2937"/>
          <w:sz w:val="22"/>
        </w:rPr>
        <w:t>External and consequential outputs remain approval-gated.</w:t>
      </w:r>
    </w:p>
    <w:p>
      <w:pPr>
        <w:spacing w:before="0" w:after="80" w:line="300" w:lineRule="auto"/>
        <w:numPr>
          <w:ilvl w:val="0"/>
          <w:numId w:val="10"/>
        </w:numPr>
      </w:pPr>
      <w:r>
        <w:rPr>
          <w:rFonts w:ascii="Calibri" w:hAnsi="Calibri" w:eastAsia="Calibri"/>
          <w:color w:val="1F2937"/>
          <w:sz w:val="22"/>
        </w:rPr>
        <w:t>The workflow returns more dependable value than burden.</w:t>
      </w:r>
    </w:p>
    <w:p>
      <w:pPr>
        <w:pStyle w:val="Heading2"/>
        <w:keepNext/>
      </w:pPr>
      <w:r>
        <w:t>Thirty-day review</w:t>
      </w:r>
    </w:p>
    <w:p>
      <w:pPr>
        <w:spacing w:before="0" w:after="80" w:line="300" w:lineRule="auto"/>
        <w:numPr>
          <w:ilvl w:val="0"/>
          <w:numId w:val="10"/>
        </w:numPr>
      </w:pPr>
      <w:r>
        <w:rPr>
          <w:rFonts w:ascii="Calibri" w:hAnsi="Calibri" w:eastAsia="Calibri"/>
          <w:color w:val="1F2937"/>
          <w:sz w:val="22"/>
        </w:rPr>
        <w:t>Time or cognitive space was returned.</w:t>
      </w:r>
    </w:p>
    <w:p>
      <w:pPr>
        <w:spacing w:before="0" w:after="80" w:line="300" w:lineRule="auto"/>
        <w:numPr>
          <w:ilvl w:val="0"/>
          <w:numId w:val="10"/>
        </w:numPr>
      </w:pPr>
      <w:r>
        <w:rPr>
          <w:rFonts w:ascii="Calibri" w:hAnsi="Calibri" w:eastAsia="Calibri"/>
          <w:color w:val="1F2937"/>
          <w:sz w:val="22"/>
        </w:rPr>
        <w:t>Professional authority, credentials, sources, and human checkpoints became clearer.</w:t>
      </w:r>
    </w:p>
    <w:p>
      <w:pPr>
        <w:spacing w:before="0" w:after="80" w:line="300" w:lineRule="auto"/>
        <w:numPr>
          <w:ilvl w:val="0"/>
          <w:numId w:val="10"/>
        </w:numPr>
      </w:pPr>
      <w:r>
        <w:rPr>
          <w:rFonts w:ascii="Calibri" w:hAnsi="Calibri" w:eastAsia="Calibri"/>
          <w:color w:val="1F2937"/>
          <w:sz w:val="22"/>
        </w:rPr>
        <w:t>A professional goal and a protected-life goal advanced.</w:t>
      </w:r>
    </w:p>
    <w:p>
      <w:pPr>
        <w:spacing w:before="0" w:after="80" w:line="300" w:lineRule="auto"/>
        <w:numPr>
          <w:ilvl w:val="0"/>
          <w:numId w:val="10"/>
        </w:numPr>
      </w:pPr>
      <w:r>
        <w:rPr>
          <w:rFonts w:ascii="Calibri" w:hAnsi="Calibri" w:eastAsia="Calibri"/>
          <w:color w:val="1F2937"/>
          <w:sz w:val="22"/>
        </w:rPr>
        <w:t>Recovery, relationships, and unoptimized time were not silently consumed.</w:t>
      </w:r>
    </w:p>
    <w:p>
      <w:pPr>
        <w:spacing w:before="0" w:after="80" w:line="300" w:lineRule="auto"/>
        <w:numPr>
          <w:ilvl w:val="0"/>
          <w:numId w:val="10"/>
        </w:numPr>
      </w:pPr>
      <w:r>
        <w:rPr>
          <w:rFonts w:ascii="Calibri" w:hAnsi="Calibri" w:eastAsia="Calibri"/>
          <w:color w:val="1F2937"/>
          <w:sz w:val="22"/>
        </w:rPr>
        <w:t>Corrections, failures, and actual action states were visible.</w:t>
      </w:r>
    </w:p>
    <w:p>
      <w:pPr>
        <w:spacing w:before="0" w:after="80" w:line="300" w:lineRule="auto"/>
        <w:numPr>
          <w:ilvl w:val="0"/>
          <w:numId w:val="10"/>
        </w:numPr>
      </w:pPr>
      <w:r>
        <w:rPr>
          <w:rFonts w:ascii="Calibri" w:hAnsi="Calibri" w:eastAsia="Calibri"/>
          <w:color w:val="1F2937"/>
          <w:sz w:val="22"/>
        </w:rPr>
        <w:t>Memory, permissions, sources, and automations were audited.</w:t>
      </w:r>
    </w:p>
    <w:p>
      <w:pPr>
        <w:spacing w:before="0" w:after="80" w:line="300" w:lineRule="auto"/>
        <w:numPr>
          <w:ilvl w:val="0"/>
          <w:numId w:val="10"/>
        </w:numPr>
      </w:pPr>
      <w:r>
        <w:rPr>
          <w:rFonts w:ascii="Calibri" w:hAnsi="Calibri" w:eastAsia="Calibri"/>
          <w:color w:val="1F2937"/>
          <w:sz w:val="22"/>
        </w:rPr>
        <w:t>Low-value capabilities were removed, and I remain clearly in control.</w:t>
      </w:r>
    </w:p>
    <w:p>
      <w:pPr>
        <w:pStyle w:val="Heading1"/>
        <w:keepNext/>
      </w:pPr>
      <w:r>
        <w:t>Closing message</w:t>
      </w:r>
    </w:p>
    <w:p>
      <w:pPr>
        <w:spacing w:before="0" w:after="240" w:line="288" w:lineRule="auto"/>
      </w:pPr>
      <w:r>
        <w:rPr>
          <w:rFonts w:ascii="Calibri" w:hAnsi="Calibri" w:eastAsia="Calibri"/>
          <w:b/>
          <w:color w:val="123047"/>
          <w:sz w:val="26"/>
        </w:rPr>
        <w:t>The strongest Nurse Practitioner AI OS is not the one with the most automations. It is the one that makes priorities clearer, evidence easier to examine, professional growth more intentional, and life more fully yours.</w:t>
      </w:r>
    </w:p>
    <w:p>
      <w:pPr/>
      <w:r>
        <w:rPr>
          <w:rFonts w:ascii="Calibri" w:hAnsi="Calibri" w:eastAsia="Calibri"/>
          <w:i w:val="0"/>
          <w:color w:val="1F2937"/>
          <w:sz w:val="22"/>
        </w:rPr>
        <w:t>Hermes can help carry information, structure, and repetition. It cannot carry your professional accountability, knowledge of the patient, relationships, moral agency, or purpose. Those are not system limitations to overcome. They are the center of the design.</w:t>
      </w:r>
    </w:p>
    <w:p>
      <w:pPr>
        <w:spacing w:before="120" w:after="200" w:line="276" w:lineRule="auto"/>
        <w:shd w:fill="E8F5F3"/>
        <w:pBdr>
          <w:left w:val="single" w:sz="18" w:space="8" w:color="0B7A75"/>
        </w:pBdr>
        <w:ind w:left="180" w:right="120"/>
      </w:pPr>
      <w:r>
        <w:rPr>
          <w:rFonts w:ascii="Calibri" w:hAnsi="Calibri" w:eastAsia="Calibri"/>
          <w:b/>
          <w:color w:val="123047"/>
          <w:sz w:val="22"/>
        </w:rPr>
        <w:t xml:space="preserve">Final operating principle: </w:t>
      </w:r>
      <w:r>
        <w:rPr>
          <w:rFonts w:ascii="Calibri" w:hAnsi="Calibri" w:eastAsia="Calibri"/>
          <w:color w:val="1F2937"/>
          <w:sz w:val="22"/>
        </w:rPr>
        <w:t>Greater clarity, judgment, craft, learning, connection, and follow-through must come before greater autonomy.</w:t>
      </w:r>
    </w:p>
    <w:p>
      <w:pPr>
        <w:pStyle w:val="Heading1"/>
        <w:keepNext/>
      </w:pPr>
      <w:r>
        <w:t>Companion implementation program</w:t>
      </w:r>
    </w:p>
    <w:p>
      <w:pPr/>
      <w:r>
        <w:rPr>
          <w:rFonts w:ascii="Calibri" w:hAnsi="Calibri" w:eastAsia="Calibri"/>
          <w:i w:val="0"/>
          <w:color w:val="1F2937"/>
          <w:sz w:val="22"/>
        </w:rPr>
        <w:t>Use Nurse-Practitioner-Life-Practice-and-Purpose-Hermes-Program.md as the complete executable installer, embedded dashboard specification, data model, workflows, safeguards, tests, activation sequence, and stewardship program for Hermes–Nurse AI OS.</w:t>
      </w:r>
    </w:p>
    <w:p>
      <w:r>
        <w:br w:type="page"/>
      </w:r>
    </w:p>
    <w:p>
      <w:pPr>
        <w:pStyle w:val="Heading1"/>
        <w:keepNext/>
      </w:pPr>
      <w:r>
        <w:t>Authoritative reference points</w:t>
      </w:r>
    </w:p>
    <w:p>
      <w:pPr>
        <w:spacing w:before="0" w:after="240" w:line="288" w:lineRule="auto"/>
      </w:pPr>
      <w:r>
        <w:rPr>
          <w:rFonts w:ascii="Calibri" w:hAnsi="Calibri" w:eastAsia="Calibri"/>
          <w:b/>
          <w:color w:val="123047"/>
          <w:sz w:val="26"/>
        </w:rPr>
        <w:t>These sources ground the pack's professional, ethical, privacy, risk, accessibility, and communication safeguards. They do not replace the NP's current jurisdictional, employer, credentialing, payer, or legal sources.</w:t>
      </w:r>
    </w:p>
    <w:p>
      <w:pPr>
        <w:spacing w:before="0" w:after="80" w:line="300" w:lineRule="auto"/>
        <w:numPr>
          <w:ilvl w:val="0"/>
          <w:numId w:val="10"/>
        </w:numPr>
      </w:pPr>
      <w:r>
        <w:rPr>
          <w:rFonts w:ascii="Calibri" w:hAnsi="Calibri" w:eastAsia="Calibri"/>
          <w:color w:val="1F2937"/>
          <w:sz w:val="22"/>
        </w:rPr>
        <w:t>AANP — Scope of Practice for Nurse Practitioners: https://www.aanp.org/advocacy/advocacy-resource/position-statements/scope-of-practice-for-nurse-practitioners</w:t>
      </w:r>
    </w:p>
    <w:p>
      <w:pPr>
        <w:spacing w:before="0" w:after="80" w:line="300" w:lineRule="auto"/>
        <w:numPr>
          <w:ilvl w:val="0"/>
          <w:numId w:val="10"/>
        </w:numPr>
      </w:pPr>
      <w:r>
        <w:rPr>
          <w:rFonts w:ascii="Calibri" w:hAnsi="Calibri" w:eastAsia="Calibri"/>
          <w:color w:val="1F2937"/>
          <w:sz w:val="22"/>
        </w:rPr>
        <w:t>NCSBN — APRN Consensus Model: https://www.ncsbn.org/public-files/Consensus_Model_for_APRN_Regulation_July_2008.pdf</w:t>
      </w:r>
    </w:p>
    <w:p>
      <w:pPr>
        <w:spacing w:before="0" w:after="80" w:line="300" w:lineRule="auto"/>
        <w:numPr>
          <w:ilvl w:val="0"/>
          <w:numId w:val="10"/>
        </w:numPr>
      </w:pPr>
      <w:r>
        <w:rPr>
          <w:rFonts w:ascii="Calibri" w:hAnsi="Calibri" w:eastAsia="Calibri"/>
          <w:color w:val="1F2937"/>
          <w:sz w:val="22"/>
        </w:rPr>
        <w:t>American Nurses Association — 2025 Code of Ethics for Nurses: https://codeofethics.ana.org/</w:t>
      </w:r>
    </w:p>
    <w:p>
      <w:pPr>
        <w:spacing w:before="0" w:after="80" w:line="300" w:lineRule="auto"/>
        <w:numPr>
          <w:ilvl w:val="0"/>
          <w:numId w:val="10"/>
        </w:numPr>
      </w:pPr>
      <w:r>
        <w:rPr>
          <w:rFonts w:ascii="Calibri" w:hAnsi="Calibri" w:eastAsia="Calibri"/>
          <w:color w:val="1F2937"/>
          <w:sz w:val="22"/>
        </w:rPr>
        <w:t>AACN — The Essentials: https://www.aacnnursing.org/essentials</w:t>
      </w:r>
    </w:p>
    <w:p>
      <w:pPr>
        <w:spacing w:before="0" w:after="80" w:line="300" w:lineRule="auto"/>
        <w:numPr>
          <w:ilvl w:val="0"/>
          <w:numId w:val="10"/>
        </w:numPr>
      </w:pPr>
      <w:r>
        <w:rPr>
          <w:rFonts w:ascii="Calibri" w:hAnsi="Calibri" w:eastAsia="Calibri"/>
          <w:color w:val="1F2937"/>
          <w:sz w:val="22"/>
        </w:rPr>
        <w:t>HHS — HIPAA De-identification Guidance: https://www.hhs.gov/hipaa/for-professionals/special-topics/de-identification/index.html</w:t>
      </w:r>
    </w:p>
    <w:p>
      <w:pPr>
        <w:spacing w:before="0" w:after="80" w:line="300" w:lineRule="auto"/>
        <w:numPr>
          <w:ilvl w:val="0"/>
          <w:numId w:val="10"/>
        </w:numPr>
      </w:pPr>
      <w:r>
        <w:rPr>
          <w:rFonts w:ascii="Calibri" w:hAnsi="Calibri" w:eastAsia="Calibri"/>
          <w:color w:val="1F2937"/>
          <w:sz w:val="22"/>
        </w:rPr>
        <w:t>NIST — AI Risk Management Framework: https://www.nist.gov/itl/ai-risk-management-framework</w:t>
      </w:r>
    </w:p>
    <w:p>
      <w:pPr>
        <w:spacing w:before="0" w:after="80" w:line="300" w:lineRule="auto"/>
        <w:numPr>
          <w:ilvl w:val="0"/>
          <w:numId w:val="10"/>
        </w:numPr>
      </w:pPr>
      <w:r>
        <w:rPr>
          <w:rFonts w:ascii="Calibri" w:hAnsi="Calibri" w:eastAsia="Calibri"/>
          <w:color w:val="1F2937"/>
          <w:sz w:val="22"/>
        </w:rPr>
        <w:t>W3C — Web Content Accessibility Guidelines 2.2: https://www.w3.org/TR/WCAG22/</w:t>
      </w:r>
    </w:p>
    <w:p>
      <w:pPr>
        <w:spacing w:before="0" w:after="80" w:line="300" w:lineRule="auto"/>
        <w:numPr>
          <w:ilvl w:val="0"/>
          <w:numId w:val="10"/>
        </w:numPr>
      </w:pPr>
      <w:r>
        <w:rPr>
          <w:rFonts w:ascii="Calibri" w:hAnsi="Calibri" w:eastAsia="Calibri"/>
          <w:color w:val="1F2937"/>
          <w:sz w:val="22"/>
        </w:rPr>
        <w:t>Digital.gov — Plain Language Guide: https://digital.gov/guides/plain-language</w:t>
      </w:r>
    </w:p>
    <w:p>
      <w:pPr>
        <w:pStyle w:val="Heading2"/>
        <w:keepNext/>
      </w:pPr>
      <w:r>
        <w:t>Keep the pack current</w:t>
      </w:r>
    </w:p>
    <w:p>
      <w:pPr>
        <w:spacing w:before="0" w:after="80" w:line="300" w:lineRule="auto"/>
        <w:numPr>
          <w:ilvl w:val="0"/>
          <w:numId w:val="10"/>
        </w:numPr>
      </w:pPr>
      <w:r>
        <w:rPr>
          <w:rFonts w:ascii="Calibri" w:hAnsi="Calibri" w:eastAsia="Calibri"/>
          <w:color w:val="1F2937"/>
          <w:sz w:val="22"/>
        </w:rPr>
        <w:t>Review official professional and organizational requirements at activation and at least quarterly.</w:t>
      </w:r>
    </w:p>
    <w:p>
      <w:pPr>
        <w:spacing w:before="0" w:after="80" w:line="300" w:lineRule="auto"/>
        <w:numPr>
          <w:ilvl w:val="0"/>
          <w:numId w:val="10"/>
        </w:numPr>
      </w:pPr>
      <w:r>
        <w:rPr>
          <w:rFonts w:ascii="Calibri" w:hAnsi="Calibri" w:eastAsia="Calibri"/>
          <w:color w:val="1F2937"/>
          <w:sz w:val="22"/>
        </w:rPr>
        <w:t>Refresh any evidence brief when its source changes, its review date arrives, or the context materially changes.</w:t>
      </w:r>
    </w:p>
    <w:p>
      <w:pPr>
        <w:spacing w:before="0" w:after="80" w:line="300" w:lineRule="auto"/>
        <w:numPr>
          <w:ilvl w:val="0"/>
          <w:numId w:val="10"/>
        </w:numPr>
      </w:pPr>
      <w:r>
        <w:rPr>
          <w:rFonts w:ascii="Calibri" w:hAnsi="Calibri" w:eastAsia="Calibri"/>
          <w:color w:val="1F2937"/>
          <w:sz w:val="22"/>
        </w:rPr>
        <w:t>Record the source, owner, last verified date, next review date, and unresolved question—never a guessed status.</w:t>
      </w:r>
    </w:p>
    <w:p>
      <w:pPr>
        <w:spacing w:before="0" w:after="80" w:line="300" w:lineRule="auto"/>
        <w:numPr>
          <w:ilvl w:val="0"/>
          <w:numId w:val="10"/>
        </w:numPr>
      </w:pPr>
      <w:r>
        <w:rPr>
          <w:rFonts w:ascii="Calibri" w:hAnsi="Calibri" w:eastAsia="Calibri"/>
          <w:color w:val="1F2937"/>
          <w:sz w:val="22"/>
        </w:rPr>
        <w:t>Retire any workflow whose burden, risk, or loss of independent judgment exceeds its dependable value.</w:t>
      </w:r>
    </w:p>
    <w:tbl>
      <w:tblPr>
        <w:tblW w:type="dxa" w:w="9360"/>
        <w:tblLayout w:type="fixed"/>
        <w:tblLook w:firstColumn="1" w:firstRow="1" w:lastColumn="0" w:lastRow="0" w:noHBand="0" w:noVBand="1" w:val="04A0"/>
        <w:jc w:val="left"/>
        <w:tblInd w:w="120" w:type="dxa"/>
        <w:tblBorders>
          <w:top w:val="single" w:sz="6" w:space="0" w:color="C9D3DD"/>
          <w:left w:val="single" w:sz="6" w:space="0" w:color="C9D3DD"/>
          <w:bottom w:val="single" w:sz="6" w:space="0" w:color="C9D3DD"/>
          <w:right w:val="single" w:sz="6" w:space="0" w:color="C9D3DD"/>
          <w:insideH w:val="single" w:sz="6" w:space="0" w:color="C9D3DD"/>
          <w:insideV w:val="single" w:sz="6" w:space="0" w:color="C9D3DD"/>
        </w:tblBorders>
      </w:tblPr>
      <w:tblGrid>
        <w:gridCol w:w="2600"/>
        <w:gridCol w:w="6760"/>
      </w:tblGrid>
      <w:tr>
        <w:trPr>
          <w:cantSplit/>
          <w:tblHeader w:val="true"/>
          <w:cantSplit/>
        </w:trPr>
        <w:tc>
          <w:tcPr>
            <w:tcW w:type="dxa" w:w="2600"/>
            <w:tcMar>
              <w:top w:w="80" w:type="dxa"/>
              <w:start w:w="120" w:type="dxa"/>
              <w:bottom w:w="80" w:type="dxa"/>
              <w:end w:w="120" w:type="dxa"/>
            </w:tcMar>
            <w:vAlign w:val="center"/>
            <w:shd w:fill="E8EEF5" w:val="clear"/>
          </w:tcPr>
          <w:p>
            <w:pPr>
              <w:spacing w:before="0" w:after="0" w:line="252" w:lineRule="auto"/>
              <w:jc w:val="left"/>
            </w:pPr>
            <w:r/>
            <w:r>
              <w:rPr>
                <w:rFonts w:ascii="Calibri" w:hAnsi="Calibri" w:eastAsia="Calibri"/>
                <w:b/>
                <w:color w:val="123047"/>
                <w:sz w:val="18"/>
              </w:rPr>
              <w:t>Document control</w:t>
            </w:r>
          </w:p>
        </w:tc>
        <w:tc>
          <w:tcPr>
            <w:tcW w:type="dxa" w:w="6760"/>
            <w:tcMar>
              <w:top w:w="80" w:type="dxa"/>
              <w:start w:w="120" w:type="dxa"/>
              <w:bottom w:w="80" w:type="dxa"/>
              <w:end w:w="120" w:type="dxa"/>
            </w:tcMar>
            <w:vAlign w:val="center"/>
            <w:shd w:fill="E8EEF5" w:val="clear"/>
          </w:tcPr>
          <w:p>
            <w:pPr>
              <w:spacing w:before="0" w:after="0" w:line="252" w:lineRule="auto"/>
              <w:jc w:val="left"/>
            </w:pPr>
            <w:r/>
            <w:r>
              <w:rPr>
                <w:rFonts w:ascii="Calibri" w:hAnsi="Calibri" w:eastAsia="Calibri"/>
                <w:b/>
                <w:color w:val="123047"/>
                <w:sz w:val="18"/>
              </w:rPr>
              <w:t>Value</w:t>
            </w:r>
          </w:p>
        </w:tc>
      </w:tr>
      <w:tr>
        <w:trPr>
          <w:cantSplit/>
        </w:trPr>
        <w:tc>
          <w:tcPr>
            <w:tcW w:type="dxa" w:w="260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Release</w:t>
            </w:r>
          </w:p>
        </w:tc>
        <w:tc>
          <w:tcPr>
            <w:tcW w:type="dxa" w:w="676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Version 1.0 • July 2026</w:t>
            </w:r>
          </w:p>
        </w:tc>
      </w:tr>
      <w:tr>
        <w:trPr>
          <w:cantSplit/>
        </w:trPr>
        <w:tc>
          <w:tcPr>
            <w:tcW w:type="dxa" w:w="260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Designed for</w:t>
            </w:r>
          </w:p>
        </w:tc>
        <w:tc>
          <w:tcPr>
            <w:tcW w:type="dxa" w:w="676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Nurse practitioners across population foci, settings, career stages, and life seasons</w:t>
            </w:r>
          </w:p>
        </w:tc>
      </w:tr>
      <w:tr>
        <w:trPr>
          <w:cantSplit/>
        </w:trPr>
        <w:tc>
          <w:tcPr>
            <w:tcW w:type="dxa" w:w="260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Operating environment</w:t>
            </w:r>
          </w:p>
        </w:tc>
        <w:tc>
          <w:tcPr>
            <w:tcW w:type="dxa" w:w="676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Personal no-PHI or formally approved workspace</w:t>
            </w:r>
          </w:p>
        </w:tc>
      </w:tr>
      <w:tr>
        <w:trPr>
          <w:cantSplit/>
        </w:trPr>
        <w:tc>
          <w:tcPr>
            <w:tcW w:type="dxa" w:w="260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Review owner</w:t>
            </w:r>
          </w:p>
        </w:tc>
        <w:tc>
          <w:tcPr>
            <w:tcW w:type="dxa" w:w="676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The nurse practitioner</w:t>
            </w:r>
          </w:p>
        </w:tc>
      </w:tr>
      <w:tr>
        <w:trPr>
          <w:cantSplit/>
        </w:trPr>
        <w:tc>
          <w:tcPr>
            <w:tcW w:type="dxa" w:w="260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Default next review</w:t>
            </w:r>
          </w:p>
        </w:tc>
        <w:tc>
          <w:tcPr>
            <w:tcW w:type="dxa" w:w="676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Thirty days after activation, then quarterly</w:t>
            </w:r>
          </w:p>
        </w:tc>
      </w:tr>
    </w:tbl>
    <w:p>
      <w:pPr>
        <w:spacing w:before="0" w:after="40"/>
      </w:pPr>
    </w:p>
    <w:sectPr w:rsidR="00FC693F" w:rsidRPr="0006063C" w:rsidSect="00034616">
      <w:headerReference w:type="default" r:id="rId9"/>
      <w:footerReference w:type="default" r:id="rId10"/>
      <w:pgSz w:w="12240" w:h="15840"/>
      <w:pgMar w:top="1440" w:right="1440" w:bottom="1440" w:left="1440" w:header="708" w:footer="708" w:gutter="0"/>
      <w:cols w:space="720"/>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right"/>
    </w:pPr>
    <w:r>
      <w:rPr>
        <w:rFonts w:ascii="Calibri" w:hAnsi="Calibri" w:eastAsia="Calibri"/>
        <w:color w:val="5F6B76"/>
        <w:sz w:val="18"/>
      </w:rPr>
      <w:t xml:space="preserve">Page </w:t>
    </w:r>
    <w:fldSimple w:instr="PAGE">
      <w:r>
        <w:rPr>
          <w:rFonts w:ascii="Calibri" w:hAnsi="Calibri"/>
          <w:color w:val="5F6B76"/>
          <w:sz w:val="18"/>
        </w:rPr>
        <w:t>1</w:t>
      </w:r>
    </w:fldSimple>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spacing w:after="0"/>
      <w:jc w:val="center"/>
    </w:pPr>
    <w:r>
      <w:rPr>
        <w:rFonts w:ascii="Calibri" w:hAnsi="Calibri" w:eastAsia="Calibri"/>
        <w:b/>
        <w:color w:val="5F6B76"/>
        <w:sz w:val="17"/>
      </w:rPr>
      <w:t>HERMES–NURSE AI OS  |  NURSE PRACTITIONER EMPOWERMENT</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abstractNum w:abstractNumId="9">
    <w:multiLevelType w:val="singleLevel"/>
    <w:lvl w:ilvl="0">
      <w:start w:val="1"/>
      <w:numFmt w:val="bullet"/>
      <w:lvlText w:val="•"/>
      <w:lvlJc w:val="left"/>
      <w:pPr>
        <w:tabs>
          <w:tab w:val="num" w:pos="540"/>
        </w:tabs>
        <w:ind w:left="540" w:hanging="270"/>
        <w:spacing w:before="0" w:after="80" w:line="300" w:lineRule="auto"/>
      </w:pPr>
      <w:rPr>
        <w:rFonts w:ascii="Calibri" w:hAnsi="Calibri"/>
      </w:rPr>
    </w:lvl>
  </w:abstractNum>
  <w:num w:numId="10">
    <w:abstractNumId w:val="9"/>
  </w:num>
  <w:abstractNum w:abstractNumId="10">
    <w:multiLevelType w:val="singleLevel"/>
    <w:lvl w:ilvl="0">
      <w:start w:val="1"/>
      <w:numFmt w:val="decimal"/>
      <w:lvlText w:val="%1."/>
      <w:lvlJc w:val="left"/>
      <w:pPr>
        <w:tabs>
          <w:tab w:val="num" w:pos="540"/>
        </w:tabs>
        <w:ind w:left="540" w:hanging="270"/>
        <w:spacing w:before="0" w:after="80" w:line="300" w:lineRule="auto"/>
      </w:pPr>
      <w:rPr>
        <w:rFonts w:ascii="Calibri" w:hAnsi="Calibri"/>
      </w:rPr>
    </w:lvl>
  </w:abstractNum>
  <w:num w:numId="11">
    <w:abstractNumId w:val="10"/>
  </w:num>
  <w:abstractNum w:abstractNumId="11">
    <w:multiLevelType w:val="singleLevel"/>
    <w:lvl w:ilvl="0">
      <w:start w:val="1"/>
      <w:numFmt w:val="decimal"/>
      <w:lvlText w:val="%1."/>
      <w:lvlJc w:val="left"/>
      <w:pPr>
        <w:tabs>
          <w:tab w:val="num" w:pos="540"/>
        </w:tabs>
        <w:ind w:left="540" w:hanging="270"/>
        <w:spacing w:before="0" w:after="80" w:line="300" w:lineRule="auto"/>
      </w:pPr>
      <w:rPr>
        <w:rFonts w:ascii="Calibri" w:hAnsi="Calibri"/>
      </w:rPr>
    </w:lvl>
  </w:abstractNum>
  <w:num w:numId="12">
    <w:abstractNumId w:val="11"/>
  </w:num>
  <w:abstractNum w:abstractNumId="12">
    <w:multiLevelType w:val="singleLevel"/>
    <w:lvl w:ilvl="0">
      <w:start w:val="1"/>
      <w:numFmt w:val="decimal"/>
      <w:lvlText w:val="%1."/>
      <w:lvlJc w:val="left"/>
      <w:pPr>
        <w:tabs>
          <w:tab w:val="num" w:pos="540"/>
        </w:tabs>
        <w:ind w:left="540" w:hanging="270"/>
        <w:spacing w:before="0" w:after="80" w:line="300" w:lineRule="auto"/>
      </w:pPr>
      <w:rPr>
        <w:rFonts w:ascii="Calibri" w:hAnsi="Calibri"/>
      </w:rPr>
    </w:lvl>
  </w:abstractNum>
  <w:num w:numId="13">
    <w:abstractNumId w:val="12"/>
  </w:num>
  <w:abstractNum w:abstractNumId="13">
    <w:multiLevelType w:val="singleLevel"/>
    <w:lvl w:ilvl="0">
      <w:start w:val="1"/>
      <w:numFmt w:val="decimal"/>
      <w:lvlText w:val="%1."/>
      <w:lvlJc w:val="left"/>
      <w:pPr>
        <w:tabs>
          <w:tab w:val="num" w:pos="540"/>
        </w:tabs>
        <w:ind w:left="540" w:hanging="270"/>
        <w:spacing w:before="0" w:after="80" w:line="300" w:lineRule="auto"/>
      </w:pPr>
      <w:rPr>
        <w:rFonts w:ascii="Calibri" w:hAnsi="Calibri"/>
      </w:rPr>
    </w:lvl>
  </w:abstractNum>
  <w:num w:numId="14">
    <w:abstractNumId w:val="13"/>
  </w:num>
  <w:abstractNum w:abstractNumId="14">
    <w:multiLevelType w:val="singleLevel"/>
    <w:lvl w:ilvl="0">
      <w:start w:val="1"/>
      <w:numFmt w:val="decimal"/>
      <w:lvlText w:val="%1."/>
      <w:lvlJc w:val="left"/>
      <w:pPr>
        <w:tabs>
          <w:tab w:val="num" w:pos="540"/>
        </w:tabs>
        <w:ind w:left="540" w:hanging="270"/>
        <w:spacing w:before="0" w:after="80" w:line="300" w:lineRule="auto"/>
      </w:pPr>
      <w:rPr>
        <w:rFonts w:ascii="Calibri" w:hAnsi="Calibri"/>
      </w:rPr>
    </w:lvl>
  </w:abstractNum>
  <w:num w:numId="1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before="0" w:after="120" w:line="300" w:lineRule="auto"/>
    </w:pPr>
    <w:rPr>
      <w:rFonts w:ascii="Calibri" w:hAnsi="Calibri"/>
      <w:color w:val="1F2937"/>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360" w:after="200" w:line="240" w:lineRule="auto"/>
      <w:outlineLvl w:val="0"/>
    </w:pPr>
    <w:rPr>
      <w:rFonts w:asciiTheme="majorHAnsi" w:eastAsiaTheme="majorEastAsia" w:hAnsiTheme="majorHAnsi" w:cstheme="majorBidi" w:ascii="Calibri" w:hAnsi="Calibri"/>
      <w:b/>
      <w:bCs/>
      <w:color w:val="2E74B5"/>
      <w:sz w:val="32"/>
      <w:szCs w:val="28"/>
    </w:rPr>
  </w:style>
  <w:style w:type="paragraph" w:styleId="Heading2">
    <w:name w:val="heading 2"/>
    <w:basedOn w:val="Normal"/>
    <w:next w:val="Normal"/>
    <w:link w:val="Heading2Char"/>
    <w:uiPriority w:val="9"/>
    <w:unhideWhenUsed/>
    <w:qFormat/>
    <w:rsid w:val="00FC693F"/>
    <w:pPr>
      <w:keepNext/>
      <w:keepLines/>
      <w:spacing w:before="280" w:after="140" w:line="240" w:lineRule="auto"/>
      <w:outlineLvl w:val="1"/>
    </w:pPr>
    <w:rPr>
      <w:rFonts w:asciiTheme="majorHAnsi" w:eastAsiaTheme="majorEastAsia" w:hAnsiTheme="majorHAnsi" w:cstheme="majorBidi" w:ascii="Calibri" w:hAnsi="Calibri"/>
      <w:b/>
      <w:bCs/>
      <w:color w:val="2E74B5"/>
      <w:sz w:val="26"/>
      <w:szCs w:val="26"/>
    </w:rPr>
  </w:style>
  <w:style w:type="paragraph" w:styleId="Heading3">
    <w:name w:val="heading 3"/>
    <w:basedOn w:val="Normal"/>
    <w:next w:val="Normal"/>
    <w:link w:val="Heading3Char"/>
    <w:uiPriority w:val="9"/>
    <w:unhideWhenUsed/>
    <w:qFormat/>
    <w:rsid w:val="00FC693F"/>
    <w:pPr>
      <w:keepNext/>
      <w:keepLines/>
      <w:spacing w:before="200" w:after="100" w:line="240" w:lineRule="auto"/>
      <w:outlineLvl w:val="2"/>
    </w:pPr>
    <w:rPr>
      <w:rFonts w:asciiTheme="majorHAnsi" w:eastAsiaTheme="majorEastAsia" w:hAnsiTheme="majorHAnsi" w:cstheme="majorBidi" w:ascii="Calibri" w:hAnsi="Calibri"/>
      <w:b/>
      <w:bCs/>
      <w:color w:val="1F4D78"/>
      <w:sz w:val="24"/>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GuideTitle">
    <w:name w:val="Guide Title"/>
    <w:pPr>
      <w:spacing w:after="160" w:line="240" w:lineRule="auto"/>
      <w:jc w:val="center"/>
    </w:pPr>
    <w:rPr>
      <w:rFonts w:ascii="Calibri" w:hAnsi="Calibri"/>
      <w:b/>
      <w:color w:val="123047"/>
      <w:sz w:val="60"/>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 Id="rId11" Type="http://schemas.openxmlformats.org/officeDocument/2006/relationships/image" Target="media/image1.png"/><Relationship Id="rId12" Type="http://schemas.openxmlformats.org/officeDocument/2006/relationships/image" Target="media/image2.png"/><Relationship Id="rId13" Type="http://schemas.openxmlformats.org/officeDocument/2006/relationships/image" Target="media/image3.png"/><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