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520" w:after="280"/>
      </w:pPr>
      <w:r>
        <w:rPr>
          <w:rFonts w:ascii="Calibri" w:hAnsi="Calibri" w:eastAsia="Calibri"/>
          <w:b/>
          <w:color w:val="0B7A75"/>
          <w:sz w:val="21"/>
        </w:rPr>
        <w:t>STANDALONE RESPIRATORY PRACTICE, LEARNING, QUALITY &amp; LIFE ENABLEMENT PACK</w:t>
      </w:r>
    </w:p>
    <w:p>
      <w:pPr>
        <w:spacing w:after="100"/>
      </w:pPr>
      <w:r>
        <w:rPr>
          <w:rFonts w:ascii="Calibri" w:hAnsi="Calibri" w:eastAsia="Calibri"/>
          <w:b/>
          <w:color w:val="123047"/>
          <w:sz w:val="62"/>
        </w:rPr>
        <w:t>BREATHE</w:t>
      </w:r>
    </w:p>
    <w:p>
      <w:pPr>
        <w:spacing w:after="140"/>
      </w:pPr>
      <w:r>
        <w:rPr>
          <w:rFonts w:ascii="Calibri" w:hAnsi="Calibri" w:eastAsia="Calibri"/>
          <w:b/>
          <w:color w:val="167C9E"/>
          <w:sz w:val="46"/>
        </w:rPr>
        <w:t>Respiratory Care Complete AI OS</w:t>
      </w:r>
    </w:p>
    <w:p>
      <w:pPr>
        <w:spacing w:after="400"/>
      </w:pPr>
      <w:r>
        <w:rPr>
          <w:rFonts w:ascii="Calibri" w:hAnsi="Calibri" w:eastAsia="Calibri"/>
          <w:b/>
          <w:color w:val="5F6B76"/>
          <w:sz w:val="30"/>
        </w:rPr>
        <w:t>Setup, Benefits, Scope, Technical-Learning, Care-Orchestration &amp; Agent-Management Guide</w:t>
      </w:r>
    </w:p>
    <w:p>
      <w:pPr>
        <w:spacing w:before="120" w:after="200" w:line="276" w:lineRule="auto"/>
        <w:shd w:fill="E8F5F3"/>
        <w:pBdr>
          <w:left w:val="single" w:sz="18" w:space="8" w:color="0B7A75"/>
        </w:pBdr>
        <w:ind w:left="180" w:right="120"/>
      </w:pPr>
      <w:r>
        <w:rPr>
          <w:rFonts w:ascii="Calibri" w:hAnsi="Calibri" w:eastAsia="Calibri"/>
          <w:b/>
          <w:color w:val="123047"/>
          <w:sz w:val="22"/>
        </w:rPr>
        <w:t xml:space="preserve">Core promise: </w:t>
      </w:r>
      <w:r>
        <w:rPr>
          <w:rFonts w:ascii="Calibri" w:hAnsi="Calibri" w:eastAsia="Calibri"/>
          <w:color w:val="1F2937"/>
          <w:sz w:val="22"/>
        </w:rPr>
        <w:t>Breathe before the task. Verify before the action. Coordinate with humans. Grow beyond the shift. AI prepares, explains, rehearses, organizes, and checks; respiratory professionals act within verified scope; authorized humans decide and remain accountable.</w:t>
      </w:r>
    </w:p>
    <w:p>
      <w:pPr>
        <w:spacing w:before="120" w:after="200" w:line="276" w:lineRule="auto"/>
        <w:shd w:fill="FFF4D6"/>
        <w:pBdr>
          <w:left w:val="single" w:sz="18" w:space="8" w:color="B78316"/>
        </w:pBdr>
        <w:ind w:left="180" w:right="120"/>
      </w:pPr>
      <w:r>
        <w:rPr>
          <w:rFonts w:ascii="Calibri" w:hAnsi="Calibri" w:eastAsia="Calibri"/>
          <w:b/>
          <w:color w:val="123047"/>
          <w:sz w:val="22"/>
        </w:rPr>
        <w:t xml:space="preserve">Please allow time: </w:t>
      </w:r>
      <w:r>
        <w:rPr>
          <w:rFonts w:ascii="Calibri" w:hAnsi="Calibri" w:eastAsia="Calibri"/>
          <w:color w:val="1F2937"/>
          <w:sz w:val="22"/>
        </w:rPr>
        <w:t>This substantial one-file installation may require several Hermes turns. Nothing continues in the background. Keep S0, S1, and S2 receipts and wait for the final BREATHE Activation Report.</w:t>
      </w:r>
    </w:p>
    <w:p>
      <w:pPr>
        <w:spacing w:before="120" w:after="200" w:line="276" w:lineRule="auto"/>
        <w:shd w:fill="FCE8E6"/>
        <w:pBdr>
          <w:left w:val="single" w:sz="18" w:space="8" w:color="9B1C1C"/>
        </w:pBdr>
        <w:ind w:left="180" w:right="120"/>
      </w:pPr>
      <w:r>
        <w:rPr>
          <w:rFonts w:ascii="Calibri" w:hAnsi="Calibri" w:eastAsia="Calibri"/>
          <w:b/>
          <w:color w:val="123047"/>
          <w:sz w:val="22"/>
        </w:rPr>
        <w:t xml:space="preserve">Not for emergencies or real-time monitoring: </w:t>
      </w:r>
      <w:r>
        <w:rPr>
          <w:rFonts w:ascii="Calibri" w:hAnsi="Calibri" w:eastAsia="Calibri"/>
          <w:color w:val="1F2937"/>
          <w:sz w:val="22"/>
        </w:rPr>
        <w:t>For deterioration, airway/device hazards, or urgent concerns, bypass BREATHE and use official emergency, rapid-response, clinical, and device procedures immediately.</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2900"/>
        <w:gridCol w:w="3050"/>
        <w:gridCol w:w="3410"/>
      </w:tblGrid>
      <w:tr>
        <w:trPr>
          <w:cantSplit/>
          <w:tblHeader w:val="true"/>
          <w:cantSplit/>
        </w:trPr>
        <w:tc>
          <w:tcPr>
            <w:tcW w:type="dxa" w:w="29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Program</w:t>
            </w:r>
          </w:p>
        </w:tc>
        <w:tc>
          <w:tcPr>
            <w:tcW w:type="dxa" w:w="305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Professional identity</w:t>
            </w:r>
          </w:p>
        </w:tc>
        <w:tc>
          <w:tcPr>
            <w:tcW w:type="dxa" w:w="341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Starting state</w:t>
            </w:r>
          </w:p>
        </w:tc>
      </w:tr>
      <w:tr>
        <w:trPr>
          <w:cantSplit/>
        </w:trPr>
        <w:tc>
          <w:tcPr>
            <w:tcW w:type="dxa" w:w="29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BREATHE Complete Edition</w:t>
            </w:r>
          </w:p>
        </w:tc>
        <w:tc>
          <w:tcPr>
            <w:tcW w:type="dxa" w:w="30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Separate lane • My BREATHE home</w:t>
            </w:r>
          </w:p>
        </w:tc>
        <w:tc>
          <w:tcPr>
            <w:tcW w:type="dxa" w:w="341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Private • No PHI • No device control • PERM-P0</w:t>
            </w:r>
          </w:p>
        </w:tc>
      </w:tr>
    </w:tbl>
    <w:p>
      <w:pPr>
        <w:spacing w:before="0" w:after="40"/>
      </w:pPr>
    </w:p>
    <w:p>
      <w:pPr>
        <w:spacing w:before="300"/>
      </w:pPr>
      <w:r>
        <w:rPr>
          <w:rFonts w:ascii="Calibri" w:hAnsi="Calibri" w:eastAsia="Calibri"/>
          <w:b/>
          <w:color w:val="5F6B76"/>
          <w:sz w:val="21"/>
        </w:rPr>
        <w:t>Version 1.0  •  July 2026  •  Professional-controlled</w:t>
      </w:r>
    </w:p>
    <w:p>
      <w:pPr>
        <w:pStyle w:val="Heading1"/>
        <w:keepNext/>
        <w:pageBreakBefore/>
      </w:pPr>
      <w:r>
        <w:t>One complete file, one respiratory-only installation</w:t>
      </w:r>
    </w:p>
    <w:p>
      <w:pPr>
        <w:spacing w:before="0" w:after="240" w:line="288" w:lineRule="auto"/>
      </w:pPr>
      <w:r>
        <w:rPr>
          <w:rFonts w:ascii="Calibri" w:hAnsi="Calibri" w:eastAsia="Calibri"/>
          <w:b/>
          <w:color w:val="123047"/>
          <w:sz w:val="26"/>
        </w:rPr>
        <w:t>BREATHE merges a whole-professional foundation, respiratory learning and reliability system, human-owned care-orchestration frame, and governed software-agent layer into one guided program with one My BREATHE dashboard and one final human-controlled release report.</w:t>
      </w:r>
    </w:p>
    <w:p>
      <w:pPr>
        <w:spacing w:before="120" w:after="80"/>
        <w:jc w:val="center"/>
      </w:pPr>
      <w:r>
        <w:drawing>
          <wp:inline xmlns:a="http://schemas.openxmlformats.org/drawingml/2006/main" xmlns:pic="http://schemas.openxmlformats.org/drawingml/2006/picture">
            <wp:extent cx="5925312" cy="2633472"/>
            <wp:docPr id="1" name="Picture 1" descr="BREATHE installation flow: read-only isolation check, respiratory foundation, 24 Available Inactive SuperPowers, 10 PERM-P0 Disabled agents, 160 evidence-bearing release checks, and a final activation report." title="Respiratory Breathe Complete Flow"/>
            <wp:cNvGraphicFramePr>
              <a:graphicFrameLocks noChangeAspect="1"/>
            </wp:cNvGraphicFramePr>
            <a:graphic>
              <a:graphicData uri="http://schemas.openxmlformats.org/drawingml/2006/picture">
                <pic:pic>
                  <pic:nvPicPr>
                    <pic:cNvPr id="0" name="respiratory-breathe-complete-flow.png"/>
                    <pic:cNvPicPr/>
                  </pic:nvPicPr>
                  <pic:blipFill>
                    <a:blip r:embed="rId11"/>
                    <a:stretch>
                      <a:fillRect/>
                    </a:stretch>
                  </pic:blipFill>
                  <pic:spPr>
                    <a:xfrm>
                      <a:off x="0" y="0"/>
                      <a:ext cx="5925312" cy="2633472"/>
                    </a:xfrm>
                    <a:prstGeom prst="rect"/>
                  </pic:spPr>
                </pic:pic>
              </a:graphicData>
            </a:graphic>
          </wp:inline>
        </w:drawing>
      </w:r>
    </w:p>
    <w:p>
      <w:pPr>
        <w:spacing w:before="0" w:after="200"/>
        <w:jc w:val="center"/>
      </w:pPr>
      <w:r>
        <w:rPr>
          <w:rFonts w:ascii="Calibri" w:hAnsi="Calibri" w:eastAsia="Calibri"/>
          <w:i/>
          <w:color w:val="5F6B76"/>
          <w:sz w:val="18"/>
        </w:rPr>
        <w:t>BREATHE installation flow: read-only isolation check, respiratory foundation, 24 Available Inactive SuperPowers, 10 PERM-P0 Disabled agents, 160 evidence-bearing release checks, and a final activation report.</w:t>
      </w:r>
    </w:p>
    <w:p>
      <w:pPr>
        <w:pStyle w:val="Heading2"/>
        <w:keepNext/>
      </w:pPr>
      <w:r>
        <w:t>The installation file</w:t>
      </w:r>
    </w:p>
    <w:p>
      <w:pPr>
        <w:spacing w:before="120" w:after="200" w:line="276" w:lineRule="auto"/>
        <w:shd w:fill="F2F4F7"/>
        <w:pBdr>
          <w:left w:val="single" w:sz="18" w:space="8" w:color="2E74B5"/>
        </w:pBdr>
        <w:ind w:left="180" w:right="120"/>
      </w:pPr>
      <w:r>
        <w:rPr>
          <w:rFonts w:ascii="Calibri" w:hAnsi="Calibri" w:eastAsia="Calibri"/>
          <w:b/>
          <w:color w:val="123047"/>
          <w:sz w:val="22"/>
        </w:rPr>
        <w:t xml:space="preserve">Give Hermes: </w:t>
      </w:r>
      <w:r>
        <w:rPr>
          <w:rFonts w:ascii="Calibri" w:hAnsi="Calibri" w:eastAsia="Calibri"/>
          <w:color w:val="1F2937"/>
          <w:sz w:val="22"/>
        </w:rPr>
        <w:t>Respiratory-Care-Complete-AI-OS-with-BREATHE-SuperPowers-Hermes-Program.md</w:t>
      </w:r>
    </w:p>
    <w:p>
      <w:pPr>
        <w:spacing w:before="0" w:after="80" w:line="300" w:lineRule="auto"/>
        <w:keepNext/>
        <w:keepLines/>
        <w:numPr>
          <w:ilvl w:val="0"/>
          <w:numId w:val="10"/>
        </w:numPr>
      </w:pPr>
      <w:r>
        <w:rPr>
          <w:rFonts w:ascii="Calibri" w:hAnsi="Calibri" w:eastAsia="Calibri"/>
          <w:color w:val="1F2937"/>
          <w:sz w:val="22"/>
        </w:rPr>
        <w:t>Use the entire Markdown file; do not split, reorder, or merge its embedded components.</w:t>
      </w:r>
    </w:p>
    <w:p>
      <w:pPr>
        <w:spacing w:before="0" w:after="80" w:line="300" w:lineRule="auto"/>
        <w:keepNext/>
        <w:keepLines/>
        <w:numPr>
          <w:ilvl w:val="0"/>
          <w:numId w:val="10"/>
        </w:numPr>
      </w:pPr>
      <w:r>
        <w:rPr>
          <w:rFonts w:ascii="Calibri" w:hAnsi="Calibri" w:eastAsia="Calibri"/>
          <w:color w:val="1F2937"/>
          <w:sz w:val="22"/>
        </w:rPr>
        <w:t>Use a new or proven-isolated Respiratory Care workspace. If isolation cannot be verified, stop before mutation.</w:t>
      </w:r>
    </w:p>
    <w:p>
      <w:pPr>
        <w:spacing w:before="0" w:after="80" w:line="300" w:lineRule="auto"/>
        <w:keepNext/>
        <w:keepLines/>
        <w:numPr>
          <w:ilvl w:val="0"/>
          <w:numId w:val="10"/>
        </w:numPr>
      </w:pPr>
      <w:r>
        <w:rPr>
          <w:rFonts w:ascii="Calibri" w:hAnsi="Calibri" w:eastAsia="Calibri"/>
          <w:color w:val="1F2937"/>
          <w:sz w:val="22"/>
        </w:rPr>
        <w:t>Expect multiple turns. A dashboard preview, S1 receipt, or S2 receipt is progress—not completion.</w:t>
      </w:r>
    </w:p>
    <w:p>
      <w:pPr>
        <w:spacing w:before="0" w:after="80" w:line="300" w:lineRule="auto"/>
        <w:keepLines/>
        <w:numPr>
          <w:ilvl w:val="0"/>
          <w:numId w:val="10"/>
        </w:numPr>
      </w:pPr>
      <w:r>
        <w:rPr>
          <w:rFonts w:ascii="Calibri" w:hAnsi="Calibri" w:eastAsia="Calibri"/>
          <w:color w:val="1F2937"/>
          <w:sz w:val="22"/>
        </w:rPr>
        <w:t>All 24 powers remain Available Inactive and all 10 suggested agents remain PERM-P0 Disabled after installation.</w:t>
      </w:r>
    </w:p>
    <w:p>
      <w:pPr>
        <w:spacing w:before="120" w:after="200" w:line="276" w:lineRule="auto"/>
        <w:shd w:fill="EEF0FA"/>
        <w:pBdr>
          <w:left w:val="single" w:sz="18" w:space="8" w:color="4653A3"/>
        </w:pBdr>
        <w:ind w:left="180" w:right="120"/>
      </w:pPr>
      <w:r>
        <w:rPr>
          <w:rFonts w:ascii="Calibri" w:hAnsi="Calibri" w:eastAsia="Calibri"/>
          <w:b/>
          <w:color w:val="123047"/>
          <w:sz w:val="22"/>
        </w:rPr>
        <w:t xml:space="preserve">Standalone means standalone: </w:t>
      </w:r>
      <w:r>
        <w:rPr>
          <w:rFonts w:ascii="Calibri" w:hAnsi="Calibri" w:eastAsia="Calibri"/>
          <w:color w:val="1F2937"/>
          <w:sz w:val="22"/>
        </w:rPr>
        <w:t>BREATHE uses the respiratory_care lane, /respiratory-care route, resp_breathe.* records, and My BREATHE home. It shares no profile, dashboard, memory, permissions, agents, traces, history, or automation with nursing, medical-resident, physician, educator, or generic workforce populations.</w:t>
      </w:r>
    </w:p>
    <w:p>
      <w:pPr>
        <w:pStyle w:val="Heading1"/>
        <w:keepNext/>
      </w:pPr>
      <w:r>
        <w:t>What the respiratory professional gains</w:t>
      </w:r>
    </w:p>
    <w:p>
      <w:pPr>
        <w:spacing w:before="0" w:after="240" w:line="288" w:lineRule="auto"/>
      </w:pPr>
      <w:r>
        <w:rPr>
          <w:rFonts w:ascii="Calibri" w:hAnsi="Calibri" w:eastAsia="Calibri"/>
          <w:b/>
          <w:color w:val="123047"/>
          <w:sz w:val="26"/>
        </w:rPr>
        <w:t>The goal is not to make AI more powerful than the professional. It is to make scope, sources, technical learning, workload pressure, coordination, quality, development, and life choices more visible and manageable.</w:t>
      </w:r>
    </w:p>
    <w:p>
      <w:pPr>
        <w:spacing w:before="0" w:after="80" w:line="300" w:lineRule="auto"/>
        <w:keepNext/>
        <w:keepLines/>
        <w:numPr>
          <w:ilvl w:val="0"/>
          <w:numId w:val="10"/>
        </w:numPr>
      </w:pPr>
      <w:r>
        <w:rPr>
          <w:rFonts w:ascii="Calibri" w:hAnsi="Calibri" w:eastAsia="Calibri"/>
          <w:color w:val="1F2937"/>
          <w:sz w:val="22"/>
        </w:rPr>
        <w:t>One home for exact role, scope, shift, capacity, evidence, synthetic learning, generic equipment readiness, quality, credentials, career, and recovery; family, finance, and whole-life details require a personally controlled isolated store.</w:t>
      </w:r>
    </w:p>
    <w:p>
      <w:pPr>
        <w:spacing w:before="0" w:after="80" w:line="300" w:lineRule="auto"/>
        <w:keepNext/>
        <w:keepLines/>
        <w:numPr>
          <w:ilvl w:val="0"/>
          <w:numId w:val="10"/>
        </w:numPr>
      </w:pPr>
      <w:r>
        <w:rPr>
          <w:rFonts w:ascii="Calibri" w:hAnsi="Calibri" w:eastAsia="Calibri"/>
          <w:color w:val="1F2937"/>
          <w:sz w:val="22"/>
        </w:rPr>
        <w:t>A visible SCOPE gate before consequential work: setting, credential and competency, order or protocol, privacy and permissions, human owners, escalation, and expiry.</w:t>
      </w:r>
    </w:p>
    <w:p>
      <w:pPr>
        <w:spacing w:before="0" w:after="80" w:line="300" w:lineRule="auto"/>
        <w:keepNext/>
        <w:keepLines/>
        <w:numPr>
          <w:ilvl w:val="0"/>
          <w:numId w:val="10"/>
        </w:numPr>
      </w:pPr>
      <w:r>
        <w:rPr>
          <w:rFonts w:ascii="Calibri" w:hAnsi="Calibri" w:eastAsia="Calibri"/>
          <w:color w:val="1F2937"/>
          <w:sz w:val="22"/>
        </w:rPr>
        <w:t>Current-source learning and synthetic ABG, assessment, ventilator, waveform, alarm, transport, and transition rehearsal without turning a private AI into a clinical device.</w:t>
      </w:r>
    </w:p>
    <w:p>
      <w:pPr>
        <w:spacing w:before="0" w:after="80" w:line="300" w:lineRule="auto"/>
        <w:keepNext/>
        <w:keepLines/>
        <w:numPr>
          <w:ilvl w:val="0"/>
          <w:numId w:val="10"/>
        </w:numPr>
      </w:pPr>
      <w:r>
        <w:rPr>
          <w:rFonts w:ascii="Calibri" w:hAnsi="Calibri" w:eastAsia="Calibri"/>
          <w:color w:val="1F2937"/>
          <w:sz w:val="22"/>
        </w:rPr>
        <w:t>Human-owned CIRCLE coordination with named decision owners, closed loops, contingencies, official reconciliation, and end states.</w:t>
      </w:r>
    </w:p>
    <w:p>
      <w:pPr>
        <w:spacing w:before="0" w:after="80" w:line="300" w:lineRule="auto"/>
        <w:keepNext/>
        <w:keepLines/>
        <w:numPr>
          <w:ilvl w:val="0"/>
          <w:numId w:val="10"/>
        </w:numPr>
      </w:pPr>
      <w:r>
        <w:rPr>
          <w:rFonts w:ascii="Calibri" w:hAnsi="Calibri" w:eastAsia="Calibri"/>
          <w:color w:val="1F2937"/>
          <w:sz w:val="22"/>
        </w:rPr>
        <w:t>Quality, infection-prevention, preceptor, simulation, career, research, and leadership support without hidden scoring or automated competency decisions.</w:t>
      </w:r>
    </w:p>
    <w:p>
      <w:pPr>
        <w:spacing w:before="0" w:after="80" w:line="300" w:lineRule="auto"/>
        <w:keepNext/>
        <w:keepLines/>
        <w:numPr>
          <w:ilvl w:val="0"/>
          <w:numId w:val="10"/>
        </w:numPr>
      </w:pPr>
      <w:r>
        <w:rPr>
          <w:rFonts w:ascii="Calibri" w:hAnsi="Calibri" w:eastAsia="Calibri"/>
          <w:color w:val="1F2937"/>
          <w:sz w:val="22"/>
        </w:rPr>
        <w:t>ORBIT-governed agent leverage with least privilege, one-run approval, visible receipts, rollback, purge, retirement, and a kill switch.</w:t>
      </w:r>
    </w:p>
    <w:p>
      <w:pPr>
        <w:spacing w:before="0" w:after="80" w:line="300" w:lineRule="auto"/>
        <w:keepLines/>
        <w:numPr>
          <w:ilvl w:val="0"/>
          <w:numId w:val="10"/>
        </w:numPr>
      </w:pPr>
      <w:r>
        <w:rPr>
          <w:rFonts w:ascii="Calibri" w:hAnsi="Calibri" w:eastAsia="Calibri"/>
          <w:color w:val="1F2937"/>
          <w:sz w:val="22"/>
        </w:rPr>
        <w:t>Protected breaks, recovery, health-care time, safe-transport choices, relationships, finances, service, joy, and a life beyond the shift.</w:t>
      </w:r>
    </w:p>
    <w:p>
      <w:pPr>
        <w:spacing w:before="120" w:after="200" w:line="276" w:lineRule="auto"/>
        <w:shd w:fill="FFF4D6"/>
        <w:pBdr>
          <w:left w:val="single" w:sz="18" w:space="8" w:color="B78316"/>
        </w:pBdr>
        <w:ind w:left="180" w:right="120"/>
      </w:pPr>
      <w:r>
        <w:rPr>
          <w:rFonts w:ascii="Calibri" w:hAnsi="Calibri" w:eastAsia="Calibri"/>
          <w:b/>
          <w:color w:val="123047"/>
          <w:sz w:val="22"/>
        </w:rPr>
        <w:t xml:space="preserve">No outcome promise: </w:t>
      </w:r>
      <w:r>
        <w:rPr>
          <w:rFonts w:ascii="Calibri" w:hAnsi="Calibri" w:eastAsia="Calibri"/>
          <w:color w:val="1F2937"/>
          <w:sz w:val="22"/>
        </w:rPr>
        <w:t>BREATHE does not guarantee patient outcomes, workload reduction, staffing adequacy, credential success, promotion, earnings, reduced burnout, or improved wellbeing.</w:t>
      </w:r>
    </w:p>
    <w:p>
      <w:pPr>
        <w:pStyle w:val="Heading1"/>
        <w:keepNext/>
        <w:pageBreakBefore/>
      </w:pPr>
      <w:r>
        <w:t>Title truth and the three governing frameworks</w:t>
      </w:r>
    </w:p>
    <w:p>
      <w:pPr>
        <w:spacing w:before="120" w:after="200" w:line="276" w:lineRule="auto"/>
        <w:shd w:fill="E9F6FA"/>
        <w:pBdr>
          <w:left w:val="single" w:sz="18" w:space="8" w:color="167C9E"/>
        </w:pBdr>
        <w:ind w:left="180" w:right="120"/>
      </w:pPr>
      <w:r>
        <w:rPr>
          <w:rFonts w:ascii="Calibri" w:hAnsi="Calibri" w:eastAsia="Calibri"/>
          <w:b/>
          <w:color w:val="123047"/>
          <w:sz w:val="22"/>
        </w:rPr>
        <w:t xml:space="preserve">Respiratory tech is not a scope: </w:t>
      </w:r>
      <w:r>
        <w:rPr>
          <w:rFonts w:ascii="Calibri" w:hAnsi="Calibri" w:eastAsia="Calibri"/>
          <w:color w:val="1F2937"/>
          <w:sz w:val="22"/>
        </w:rPr>
        <w:t>Respiratory tech is a common informal label, but title, NBRC credential, state license or permit, learner status, active role or hat, task-specific competency, jurisdiction, site, service, and authority are separate fields. BREATHE never treats RRT, CRT, RCP, technician, assistant, student, educator, lead, or manager as interchangeable.</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1350"/>
        <w:gridCol w:w="4200"/>
        <w:gridCol w:w="3810"/>
      </w:tblGrid>
      <w:tr>
        <w:trPr>
          <w:cantSplit/>
          <w:tblHeader w:val="true"/>
          <w:cantSplit/>
        </w:trPr>
        <w:tc>
          <w:tcPr>
            <w:tcW w:type="dxa" w:w="135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Framework</w:t>
            </w:r>
          </w:p>
        </w:tc>
        <w:tc>
          <w:tcPr>
            <w:tcW w:type="dxa" w:w="42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Use it to ask</w:t>
            </w:r>
          </w:p>
        </w:tc>
        <w:tc>
          <w:tcPr>
            <w:tcW w:type="dxa" w:w="381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Hard stop</w:t>
            </w:r>
          </w:p>
        </w:tc>
      </w:tr>
      <w:tr>
        <w:trPr>
          <w:cantSplit/>
        </w:trPr>
        <w:tc>
          <w:tcPr>
            <w:tcW w:type="dxa" w:w="13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SCOPE</w:t>
            </w:r>
          </w:p>
        </w:tc>
        <w:tc>
          <w:tcPr>
            <w:tcW w:type="dxa" w:w="42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What is the Setting/service/scope? Credential/competency? Order/protocol/owner? Patient/privacy/parameters/permissions/platform? Escalation/end state/expiry?</w:t>
            </w:r>
          </w:p>
        </w:tc>
        <w:tc>
          <w:tcPr>
            <w:tcW w:type="dxa" w:w="381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Unknown, stale, conflicting, or out-of-role status becomes a question and human escalation—not a care answer or action.</w:t>
            </w:r>
          </w:p>
        </w:tc>
      </w:tr>
      <w:tr>
        <w:trPr>
          <w:cantSplit/>
        </w:trPr>
        <w:tc>
          <w:tcPr>
            <w:tcW w:type="dxa" w:w="13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CIRCLE</w:t>
            </w:r>
          </w:p>
        </w:tc>
        <w:tc>
          <w:tcPr>
            <w:tcW w:type="dxa" w:w="42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What is the Context? Identified accountability? Roles? Closed loops? Limits and uncertainty? End state and transition?</w:t>
            </w:r>
          </w:p>
        </w:tc>
        <w:tc>
          <w:tcPr>
            <w:tcW w:type="dxa" w:w="381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It never creates an order, patient task system, shadow chart, handoff, care decision, or responsibility transfer.</w:t>
            </w:r>
          </w:p>
        </w:tc>
      </w:tr>
      <w:tr>
        <w:trPr>
          <w:cantSplit/>
        </w:trPr>
        <w:tc>
          <w:tcPr>
            <w:tcW w:type="dxa" w:w="13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ORBIT</w:t>
            </w:r>
          </w:p>
        </w:tc>
        <w:tc>
          <w:tcPr>
            <w:tcW w:type="dxa" w:w="42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What is the Objective? Role/risk? Boundaries/budget? Inspect/test? Transfer/terminate?</w:t>
            </w:r>
          </w:p>
        </w:tc>
        <w:tc>
          <w:tcPr>
            <w:tcW w:type="dxa" w:w="381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No self-approval, permission escalation, recursive delegation, hidden retry, device access, clinical authority, or PERM-P5 action.</w:t>
            </w:r>
          </w:p>
        </w:tc>
      </w:tr>
    </w:tbl>
    <w:p>
      <w:pPr>
        <w:spacing w:before="0" w:after="40"/>
      </w:pPr>
    </w:p>
    <w:p>
      <w:pPr>
        <w:spacing w:before="120" w:after="200" w:line="276" w:lineRule="auto"/>
        <w:shd w:fill="EEF0FA"/>
        <w:pBdr>
          <w:left w:val="single" w:sz="18" w:space="8" w:color="4653A3"/>
        </w:pBdr>
        <w:ind w:left="180" w:right="120"/>
      </w:pPr>
      <w:r>
        <w:rPr>
          <w:rFonts w:ascii="Calibri" w:hAnsi="Calibri" w:eastAsia="Calibri"/>
          <w:b/>
          <w:color w:val="123047"/>
          <w:sz w:val="22"/>
        </w:rPr>
        <w:t xml:space="preserve">The sequence matters: </w:t>
      </w:r>
      <w:r>
        <w:rPr>
          <w:rFonts w:ascii="Calibri" w:hAnsi="Calibri" w:eastAsia="Calibri"/>
          <w:color w:val="1F2937"/>
          <w:sz w:val="22"/>
        </w:rPr>
        <w:t>SCOPE verifies the professional and local action boundary. CIRCLE makes human accountability and closed loops visible. ORBIT limits software agents to an explicit charter, permission, test, handoff, expiry, and kill switch. Official NBRC records verify credential status; current law, board rules, license/permit, employer policy, medical direction, orders, protocols, manufacturer instructions, and authorized humans determine local authority.</w:t>
      </w:r>
    </w:p>
    <w:p>
      <w:pPr>
        <w:pStyle w:val="Heading1"/>
        <w:keepNext/>
        <w:pageBreakBefore/>
      </w:pPr>
      <w:r>
        <w:t>My BREATHE — one respiratory command center</w:t>
      </w:r>
    </w:p>
    <w:p>
      <w:pPr>
        <w:spacing w:before="0" w:after="240" w:line="288" w:lineRule="auto"/>
      </w:pPr>
      <w:r>
        <w:rPr>
          <w:rFonts w:ascii="Calibri" w:hAnsi="Calibri" w:eastAsia="Calibri"/>
          <w:b/>
          <w:color w:val="123047"/>
          <w:sz w:val="26"/>
        </w:rPr>
        <w:t>The professional opens one page—not a maze of competing dashboards. Four launchers orient, teach, coordinate, and close. The optional fifth remains empty until the professional chooses it.</w:t>
      </w:r>
    </w:p>
    <w:p>
      <w:pPr>
        <w:spacing w:before="120" w:after="80"/>
        <w:jc w:val="center"/>
      </w:pPr>
      <w:r>
        <w:drawing>
          <wp:inline xmlns:a="http://schemas.openxmlformats.org/drawingml/2006/main" xmlns:pic="http://schemas.openxmlformats.org/drawingml/2006/picture">
            <wp:extent cx="5925312" cy="3818534"/>
            <wp:docPr id="2" name="Picture 2" descr="My BREATHE respiratory care dashboard with the Core Four, seven attention items maximum, SCOPE, CIRCLE, ORBIT, and permanent control paths." title="Respiratory My Breathe Dashboard"/>
            <wp:cNvGraphicFramePr>
              <a:graphicFrameLocks noChangeAspect="1"/>
            </wp:cNvGraphicFramePr>
            <a:graphic>
              <a:graphicData uri="http://schemas.openxmlformats.org/drawingml/2006/picture">
                <pic:pic>
                  <pic:nvPicPr>
                    <pic:cNvPr id="0" name="respiratory-my-breathe-dashboard.png"/>
                    <pic:cNvPicPr/>
                  </pic:nvPicPr>
                  <pic:blipFill>
                    <a:blip r:embed="rId12"/>
                    <a:stretch>
                      <a:fillRect/>
                    </a:stretch>
                  </pic:blipFill>
                  <pic:spPr>
                    <a:xfrm>
                      <a:off x="0" y="0"/>
                      <a:ext cx="5925312" cy="3818534"/>
                    </a:xfrm>
                    <a:prstGeom prst="rect"/>
                  </pic:spPr>
                </pic:pic>
              </a:graphicData>
            </a:graphic>
          </wp:inline>
        </w:drawing>
      </w:r>
    </w:p>
    <w:p>
      <w:pPr>
        <w:spacing w:before="0" w:after="200"/>
        <w:jc w:val="center"/>
      </w:pPr>
      <w:r>
        <w:rPr>
          <w:rFonts w:ascii="Calibri" w:hAnsi="Calibri" w:eastAsia="Calibri"/>
          <w:i/>
          <w:color w:val="5F6B76"/>
          <w:sz w:val="18"/>
        </w:rPr>
        <w:t>My BREATHE respiratory care dashboard with the Core Four, seven attention items maximum, SCOPE, CIRCLE, ORBIT, and permanent control paths.</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2500"/>
        <w:gridCol w:w="6860"/>
      </w:tblGrid>
      <w:tr>
        <w:trPr>
          <w:cantSplit/>
          <w:tblHeader w:val="true"/>
          <w:cantSplit/>
        </w:trPr>
        <w:tc>
          <w:tcPr>
            <w:tcW w:type="dxa" w:w="25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Core Four</w:t>
            </w:r>
          </w:p>
        </w:tc>
        <w:tc>
          <w:tcPr>
            <w:tcW w:type="dxa" w:w="686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What opens</w:t>
            </w:r>
          </w:p>
        </w:tc>
      </w:tr>
      <w:tr>
        <w:trPr>
          <w:cantSplit/>
        </w:trPr>
        <w:tc>
          <w:tcPr>
            <w:tcW w:type="dxa" w:w="25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Orient Shift &amp; Capacity</w:t>
            </w:r>
          </w:p>
        </w:tc>
        <w:tc>
          <w:tcPr>
            <w:tcW w:type="dxa" w:w="68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Exact role and scope, site and service, Top Three, workload questions, capacity, break and recovery, protected life, and Plan B.</w:t>
            </w:r>
          </w:p>
        </w:tc>
      </w:tr>
      <w:tr>
        <w:trPr>
          <w:cantSplit/>
        </w:trPr>
        <w:tc>
          <w:tcPr>
            <w:tcW w:type="dxa" w:w="25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Learn &amp; Verify</w:t>
            </w:r>
          </w:p>
        </w:tc>
        <w:tc>
          <w:tcPr>
            <w:tcW w:type="dxa" w:w="68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Sources, generic evidence, clearly synthetic ABG and assessment cases, device learning, credentials, and source freshness.</w:t>
            </w:r>
          </w:p>
        </w:tc>
      </w:tr>
      <w:tr>
        <w:trPr>
          <w:cantSplit/>
        </w:trPr>
        <w:tc>
          <w:tcPr>
            <w:tcW w:type="dxa" w:w="25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Coordinate Care &amp; Equipment</w:t>
            </w:r>
          </w:p>
        </w:tc>
        <w:tc>
          <w:tcPr>
            <w:tcW w:type="dxa" w:w="68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Synthetic or separately approved CIRCLE preparation, generic equipment readiness, rounds, consults, transitions, teaching, and quality.</w:t>
            </w:r>
          </w:p>
        </w:tc>
      </w:tr>
      <w:tr>
        <w:trPr>
          <w:cantSplit/>
        </w:trPr>
        <w:tc>
          <w:tcPr>
            <w:tcW w:type="dxa" w:w="25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Review, Escalate &amp; Close</w:t>
            </w:r>
          </w:p>
        </w:tc>
        <w:tc>
          <w:tcPr>
            <w:tcW w:type="dxa" w:w="68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SCOPE receipts, human decisions and acknowledgments, official destination, agent review, expiry, fallback, correction, and controls.</w:t>
            </w:r>
          </w:p>
        </w:tc>
      </w:tr>
    </w:tbl>
    <w:p>
      <w:pPr>
        <w:spacing w:before="0" w:after="40"/>
      </w:pPr>
    </w:p>
    <w:p>
      <w:pPr>
        <w:pStyle w:val="Heading1"/>
        <w:keepNext/>
        <w:pageBreakBefore/>
      </w:pPr>
      <w:r>
        <w:t>Twenty-four optional BREATHE SuperPowers</w:t>
      </w:r>
    </w:p>
    <w:p>
      <w:pPr>
        <w:spacing w:before="0" w:after="240" w:line="288" w:lineRule="auto"/>
      </w:pPr>
      <w:r>
        <w:rPr>
          <w:rFonts w:ascii="Calibri" w:hAnsi="Calibri" w:eastAsia="Calibri"/>
          <w:b/>
          <w:color w:val="123047"/>
          <w:sz w:val="26"/>
        </w:rPr>
        <w:t>Every power installs Available Inactive. This is catalog visibility—not scope, permission, or entitlement. Start with zero or one low-risk power; activation is optional, preview-first, role-gated, power-specific, and reversible.</w:t>
      </w:r>
    </w:p>
    <w:p>
      <w:pPr>
        <w:pStyle w:val="Heading2"/>
        <w:keepNext/>
      </w:pPr>
      <w:r>
        <w:t>B — Begin safely</w:t>
      </w:r>
    </w:p>
    <w:p>
      <w:pPr>
        <w:keepLines/>
        <w:spacing w:before="0" w:after="100" w:line="278" w:lineRule="auto"/>
      </w:pPr>
      <w:r>
        <w:rPr>
          <w:rFonts w:ascii="Calibri" w:hAnsi="Calibri" w:eastAsia="Calibri"/>
          <w:b/>
          <w:color w:val="167C9E"/>
          <w:sz w:val="20"/>
        </w:rPr>
        <w:t xml:space="preserve">1. Shift &amp; Assignment Readiness Navigator. </w:t>
      </w:r>
      <w:r>
        <w:rPr>
          <w:rFonts w:ascii="Calibri" w:hAnsi="Calibri" w:eastAsia="Calibri"/>
          <w:color w:val="1F2937"/>
          <w:sz w:val="20"/>
        </w:rPr>
        <w:t>Build a feasible shift plan around verified role, unit, assigned responsibility, workload, breaks, equipment preparation, learning, and life—without creating or changing patient assignments.</w:t>
      </w:r>
    </w:p>
    <w:p>
      <w:pPr>
        <w:keepLines/>
        <w:spacing w:before="0" w:after="100" w:line="278" w:lineRule="auto"/>
      </w:pPr>
      <w:r>
        <w:rPr>
          <w:rFonts w:ascii="Calibri" w:hAnsi="Calibri" w:eastAsia="Calibri"/>
          <w:b/>
          <w:color w:val="167C9E"/>
          <w:sz w:val="20"/>
        </w:rPr>
        <w:t xml:space="preserve">2. Workload, Staffing Evidence &amp; Escalation Shield. </w:t>
      </w:r>
      <w:r>
        <w:rPr>
          <w:rFonts w:ascii="Calibri" w:hAnsi="Calibri" w:eastAsia="Calibri"/>
          <w:color w:val="1F2937"/>
          <w:sz w:val="20"/>
        </w:rPr>
        <w:t>Make workload pressure, acuity categories, procedures, transports, time demand, coverage questions, and missed-work risk visible without assigning staff, rationing therapy, or certifying staffing adequacy.</w:t>
      </w:r>
    </w:p>
    <w:p>
      <w:pPr>
        <w:keepLines/>
        <w:spacing w:before="0" w:after="100" w:line="278" w:lineRule="auto"/>
      </w:pPr>
      <w:r>
        <w:rPr>
          <w:rFonts w:ascii="Calibri" w:hAnsi="Calibri" w:eastAsia="Calibri"/>
          <w:b/>
          <w:color w:val="167C9E"/>
          <w:sz w:val="20"/>
        </w:rPr>
        <w:t xml:space="preserve">3. Fatigue, Recovery &amp; Safe-Transport Navigator. </w:t>
      </w:r>
      <w:r>
        <w:rPr>
          <w:rFonts w:ascii="Calibri" w:hAnsi="Calibri" w:eastAsia="Calibri"/>
          <w:color w:val="1F2937"/>
          <w:sz w:val="20"/>
        </w:rPr>
        <w:t>Help protect recovery, hydration, food, breaks, post-shift travel, health care, and support without diagnosing fatigue, impairment, burnout, fitness, or ability to work or drive.</w:t>
      </w:r>
    </w:p>
    <w:p>
      <w:pPr>
        <w:keepLines/>
        <w:spacing w:before="0" w:after="100" w:line="278" w:lineRule="auto"/>
      </w:pPr>
      <w:r>
        <w:rPr>
          <w:rFonts w:ascii="Calibri" w:hAnsi="Calibri" w:eastAsia="Calibri"/>
          <w:b/>
          <w:color w:val="167C9E"/>
          <w:sz w:val="20"/>
        </w:rPr>
        <w:t xml:space="preserve">4. Mission, Family, Finances &amp; Future Compass. </w:t>
      </w:r>
      <w:r>
        <w:rPr>
          <w:rFonts w:ascii="Calibri" w:hAnsi="Calibri" w:eastAsia="Calibri"/>
          <w:color w:val="1F2937"/>
          <w:sz w:val="20"/>
        </w:rPr>
        <w:t>Connect respiratory-care identity to family, finances, education, health, joy, service, leadership, and a life beyond the next shift.</w:t>
      </w:r>
    </w:p>
    <w:p>
      <w:pPr>
        <w:pStyle w:val="Heading2"/>
        <w:keepNext/>
      </w:pPr>
      <w:r>
        <w:t>R — Reason</w:t>
      </w:r>
    </w:p>
    <w:p>
      <w:pPr>
        <w:keepLines/>
        <w:spacing w:before="0" w:after="100" w:line="278" w:lineRule="auto"/>
      </w:pPr>
      <w:r>
        <w:rPr>
          <w:rFonts w:ascii="Calibri" w:hAnsi="Calibri" w:eastAsia="Calibri"/>
          <w:b/>
          <w:color w:val="0B7A75"/>
          <w:sz w:val="20"/>
        </w:rPr>
        <w:t xml:space="preserve">5. Evidence, Guideline &amp; Source-Freshness Navigator. </w:t>
      </w:r>
      <w:r>
        <w:rPr>
          <w:rFonts w:ascii="Calibri" w:hAnsi="Calibri" w:eastAsia="Calibri"/>
          <w:color w:val="1F2937"/>
          <w:sz w:val="20"/>
        </w:rPr>
        <w:t>Turn generic respiratory-care questions into current, source-aware briefs that preserve version, applicability, uncertainty, contradiction, local policy, and human verification.</w:t>
      </w:r>
    </w:p>
    <w:p>
      <w:pPr>
        <w:keepLines/>
        <w:spacing w:before="0" w:after="100" w:line="278" w:lineRule="auto"/>
      </w:pPr>
      <w:r>
        <w:rPr>
          <w:rFonts w:ascii="Calibri" w:hAnsi="Calibri" w:eastAsia="Calibri"/>
          <w:b/>
          <w:color w:val="0B7A75"/>
          <w:sz w:val="20"/>
        </w:rPr>
        <w:t xml:space="preserve">6. Synthetic ABG, Acid–Base &amp; Gas-Exchange Learning Lab. </w:t>
      </w:r>
      <w:r>
        <w:rPr>
          <w:rFonts w:ascii="Calibri" w:hAnsi="Calibri" w:eastAsia="Calibri"/>
          <w:color w:val="1F2937"/>
          <w:sz w:val="20"/>
        </w:rPr>
        <w:t>Practice arterial or capillary blood-gas reasoning, acid–base patterns, oxygenation, ventilation, compensation, and limitations using fictional or approved educational cases.</w:t>
      </w:r>
    </w:p>
    <w:p>
      <w:pPr>
        <w:keepLines/>
        <w:spacing w:before="0" w:after="100" w:line="278" w:lineRule="auto"/>
      </w:pPr>
      <w:r>
        <w:rPr>
          <w:rFonts w:ascii="Calibri" w:hAnsi="Calibri" w:eastAsia="Calibri"/>
          <w:b/>
          <w:color w:val="0B7A75"/>
          <w:sz w:val="20"/>
        </w:rPr>
        <w:t xml:space="preserve">7. Synthetic Respiratory Assessment &amp; Pattern-Recognition Studio. </w:t>
      </w:r>
      <w:r>
        <w:rPr>
          <w:rFonts w:ascii="Calibri" w:hAnsi="Calibri" w:eastAsia="Calibri"/>
          <w:color w:val="1F2937"/>
          <w:sz w:val="20"/>
        </w:rPr>
        <w:t>Develop structured observation, respiratory assessment, waveform, trend, and escalation reasoning with fictional scenarios while resisting premature closure.</w:t>
      </w:r>
    </w:p>
    <w:p>
      <w:pPr>
        <w:keepLines/>
        <w:spacing w:before="0" w:after="100" w:line="278" w:lineRule="auto"/>
      </w:pPr>
      <w:r>
        <w:rPr>
          <w:rFonts w:ascii="Calibri" w:hAnsi="Calibri" w:eastAsia="Calibri"/>
          <w:b/>
          <w:color w:val="0B7A75"/>
          <w:sz w:val="20"/>
        </w:rPr>
        <w:t xml:space="preserve">8. Orders, Protocols &amp; Scope Boundary Navigator. </w:t>
      </w:r>
      <w:r>
        <w:rPr>
          <w:rFonts w:ascii="Calibri" w:hAnsi="Calibri" w:eastAsia="Calibri"/>
          <w:color w:val="1F2937"/>
          <w:sz w:val="20"/>
        </w:rPr>
        <w:t>Make the exact relationship among role, credential, competency, order, protocol, medical direction, local policy, and escalation visible before consequential work.</w:t>
      </w:r>
    </w:p>
    <w:p>
      <w:pPr>
        <w:pStyle w:val="Heading2"/>
        <w:keepNext/>
        <w:pageBreakBefore/>
      </w:pPr>
      <w:r>
        <w:t>E — Equip</w:t>
      </w:r>
    </w:p>
    <w:p>
      <w:pPr>
        <w:keepLines/>
        <w:spacing w:before="0" w:after="100" w:line="278" w:lineRule="auto"/>
      </w:pPr>
      <w:r>
        <w:rPr>
          <w:rFonts w:ascii="Calibri" w:hAnsi="Calibri" w:eastAsia="Calibri"/>
          <w:b/>
          <w:color w:val="36A3B5"/>
          <w:sz w:val="20"/>
        </w:rPr>
        <w:t xml:space="preserve">9. Ventilator Modes, Waveforms &amp; Alarm Learning Studio. </w:t>
      </w:r>
      <w:r>
        <w:rPr>
          <w:rFonts w:ascii="Calibri" w:hAnsi="Calibri" w:eastAsia="Calibri"/>
          <w:color w:val="1F2937"/>
          <w:sz w:val="20"/>
        </w:rPr>
        <w:t>Build deliberate practice with ventilator concepts, modes, waveforms, loops, synchrony, alarms, and troubleshooting sequences using synthetic cases and current sources.</w:t>
      </w:r>
    </w:p>
    <w:p>
      <w:pPr>
        <w:keepLines/>
        <w:spacing w:before="0" w:after="100" w:line="278" w:lineRule="auto"/>
      </w:pPr>
      <w:r>
        <w:rPr>
          <w:rFonts w:ascii="Calibri" w:hAnsi="Calibri" w:eastAsia="Calibri"/>
          <w:b/>
          <w:color w:val="36A3B5"/>
          <w:sz w:val="20"/>
        </w:rPr>
        <w:t xml:space="preserve">10. Oxygen, Aerosol, Humidification &amp; Delivery-Device Learning and Comparison Studio. </w:t>
      </w:r>
      <w:r>
        <w:rPr>
          <w:rFonts w:ascii="Calibri" w:hAnsi="Calibri" w:eastAsia="Calibri"/>
          <w:color w:val="1F2937"/>
          <w:sz w:val="20"/>
        </w:rPr>
        <w:t>Compare generic delivery principles, device characteristics, preparation steps, teaching points, and source requirements without selecting therapy for a patient.</w:t>
      </w:r>
    </w:p>
    <w:p>
      <w:pPr>
        <w:keepLines/>
        <w:spacing w:before="0" w:after="100" w:line="278" w:lineRule="auto"/>
      </w:pPr>
      <w:r>
        <w:rPr>
          <w:rFonts w:ascii="Calibri" w:hAnsi="Calibri" w:eastAsia="Calibri"/>
          <w:b/>
          <w:color w:val="36A3B5"/>
          <w:sz w:val="20"/>
        </w:rPr>
        <w:t xml:space="preserve">11. Equipment, Circuit, Interface &amp; Supply Readiness Mapper. </w:t>
      </w:r>
      <w:r>
        <w:rPr>
          <w:rFonts w:ascii="Calibri" w:hAnsi="Calibri" w:eastAsia="Calibri"/>
          <w:color w:val="1F2937"/>
          <w:sz w:val="20"/>
        </w:rPr>
        <w:t>Prepare generic equipment, circuit, interface, consumable, backup, cleaning, inspection, and escalation maps without functioning as biomedical maintenance or an official inventory system.</w:t>
      </w:r>
    </w:p>
    <w:p>
      <w:pPr>
        <w:keepLines/>
        <w:spacing w:before="0" w:after="100" w:line="278" w:lineRule="auto"/>
      </w:pPr>
      <w:r>
        <w:rPr>
          <w:rFonts w:ascii="Calibri" w:hAnsi="Calibri" w:eastAsia="Calibri"/>
          <w:b/>
          <w:color w:val="36A3B5"/>
          <w:sz w:val="20"/>
        </w:rPr>
        <w:t xml:space="preserve">12. Transport, Procedure &amp; Equipment-Failure Rehearsal. </w:t>
      </w:r>
      <w:r>
        <w:rPr>
          <w:rFonts w:ascii="Calibri" w:hAnsi="Calibri" w:eastAsia="Calibri"/>
          <w:color w:val="1F2937"/>
          <w:sz w:val="20"/>
        </w:rPr>
        <w:t>Rehearse role clarity, generic equipment readiness, contingencies, communication, and failure response for transport or procedures using synthetic or approved training scenarios.</w:t>
      </w:r>
    </w:p>
    <w:p>
      <w:pPr>
        <w:pStyle w:val="Heading2"/>
        <w:keepNext/>
      </w:pPr>
      <w:r>
        <w:t>A — Align</w:t>
      </w:r>
    </w:p>
    <w:p>
      <w:pPr>
        <w:keepLines/>
        <w:spacing w:before="0" w:after="100" w:line="278" w:lineRule="auto"/>
      </w:pPr>
      <w:r>
        <w:rPr>
          <w:rFonts w:ascii="Calibri" w:hAnsi="Calibri" w:eastAsia="Calibri"/>
          <w:b/>
          <w:color w:val="C56658"/>
          <w:sz w:val="20"/>
        </w:rPr>
        <w:t xml:space="preserve">13. Scope-Aware Respiratory Care Orchestration Mapper. </w:t>
      </w:r>
      <w:r>
        <w:rPr>
          <w:rFonts w:ascii="Calibri" w:hAnsi="Calibri" w:eastAsia="Calibri"/>
          <w:color w:val="1F2937"/>
          <w:sz w:val="20"/>
        </w:rPr>
        <w:t>Prepare human-owned respiratory care coordination by making goals, accountable clinicians, respiratory role, orders or protocols, dependencies, closed loops, contingencies, and transitions visible.</w:t>
      </w:r>
    </w:p>
    <w:p>
      <w:pPr>
        <w:keepLines/>
        <w:spacing w:before="0" w:after="100" w:line="278" w:lineRule="auto"/>
      </w:pPr>
      <w:r>
        <w:rPr>
          <w:rFonts w:ascii="Calibri" w:hAnsi="Calibri" w:eastAsia="Calibri"/>
          <w:b/>
          <w:color w:val="C56658"/>
          <w:sz w:val="20"/>
        </w:rPr>
        <w:t xml:space="preserve">14. Airway, Code, Rapid Response &amp; Escalation Rehearsal. </w:t>
      </w:r>
      <w:r>
        <w:rPr>
          <w:rFonts w:ascii="Calibri" w:hAnsi="Calibri" w:eastAsia="Calibri"/>
          <w:color w:val="1F2937"/>
          <w:sz w:val="20"/>
        </w:rPr>
        <w:t>Practice communication, roles, equipment categories, contingencies, and escalation in fictional airway, code, rapid-response, or deterioration scenarios.</w:t>
      </w:r>
    </w:p>
    <w:p>
      <w:pPr>
        <w:keepLines/>
        <w:spacing w:before="0" w:after="100" w:line="278" w:lineRule="auto"/>
      </w:pPr>
      <w:r>
        <w:rPr>
          <w:rFonts w:ascii="Calibri" w:hAnsi="Calibri" w:eastAsia="Calibri"/>
          <w:b/>
          <w:color w:val="C56658"/>
          <w:sz w:val="20"/>
        </w:rPr>
        <w:t xml:space="preserve">15. Interdisciplinary Rounds, Consult &amp; Closed-Loop Coordination Studio. </w:t>
      </w:r>
      <w:r>
        <w:rPr>
          <w:rFonts w:ascii="Calibri" w:hAnsi="Calibri" w:eastAsia="Calibri"/>
          <w:color w:val="1F2937"/>
          <w:sz w:val="20"/>
        </w:rPr>
        <w:t>Help respiratory professionals prepare concise observations, questions, recommendations for human consideration, dependencies, and acknowledgment checks without contacting the team or moving care.</w:t>
      </w:r>
    </w:p>
    <w:p>
      <w:pPr>
        <w:keepLines/>
        <w:spacing w:before="0" w:after="100" w:line="278" w:lineRule="auto"/>
      </w:pPr>
      <w:r>
        <w:rPr>
          <w:rFonts w:ascii="Calibri" w:hAnsi="Calibri" w:eastAsia="Calibri"/>
          <w:b/>
          <w:color w:val="C56658"/>
          <w:sz w:val="20"/>
        </w:rPr>
        <w:t xml:space="preserve">16. Liberation, NIV, Tracheostomy &amp; Transition Reliability Planner. </w:t>
      </w:r>
      <w:r>
        <w:rPr>
          <w:rFonts w:ascii="Calibri" w:hAnsi="Calibri" w:eastAsia="Calibri"/>
          <w:color w:val="1F2937"/>
          <w:sz w:val="20"/>
        </w:rPr>
        <w:t>Rehearse generic evidence, roles, readiness questions, barriers, contingencies, education, handoffs, and follow-up for respiratory transitions without determining patient readiness.</w:t>
      </w:r>
    </w:p>
    <w:p>
      <w:pPr>
        <w:pStyle w:val="Heading2"/>
        <w:keepNext/>
        <w:pageBreakBefore/>
      </w:pPr>
      <w:r>
        <w:t>T — Teach</w:t>
      </w:r>
    </w:p>
    <w:p>
      <w:pPr>
        <w:keepLines/>
        <w:spacing w:before="0" w:after="100" w:line="278" w:lineRule="auto"/>
      </w:pPr>
      <w:r>
        <w:rPr>
          <w:rFonts w:ascii="Calibri" w:hAnsi="Calibri" w:eastAsia="Calibri"/>
          <w:b/>
          <w:color w:val="4653A3"/>
          <w:sz w:val="20"/>
        </w:rPr>
        <w:t xml:space="preserve">17. Patient, Family &amp; Caregiver Education Rehearsal. </w:t>
      </w:r>
      <w:r>
        <w:rPr>
          <w:rFonts w:ascii="Calibri" w:hAnsi="Calibri" w:eastAsia="Calibri"/>
          <w:color w:val="1F2937"/>
          <w:sz w:val="20"/>
        </w:rPr>
        <w:t>Prepare understandable, culturally humble, accessible respiratory education and teach-back plans with synthetic scenarios and approved sources.</w:t>
      </w:r>
    </w:p>
    <w:p>
      <w:pPr>
        <w:keepLines/>
        <w:spacing w:before="0" w:after="100" w:line="278" w:lineRule="auto"/>
      </w:pPr>
      <w:r>
        <w:rPr>
          <w:rFonts w:ascii="Calibri" w:hAnsi="Calibri" w:eastAsia="Calibri"/>
          <w:b/>
          <w:color w:val="4653A3"/>
          <w:sz w:val="20"/>
        </w:rPr>
        <w:t xml:space="preserve">18. Preceptor, Competency &amp; Simulation Development Studio. </w:t>
      </w:r>
      <w:r>
        <w:rPr>
          <w:rFonts w:ascii="Calibri" w:hAnsi="Calibri" w:eastAsia="Calibri"/>
          <w:color w:val="1F2937"/>
          <w:sz w:val="20"/>
        </w:rPr>
        <w:t>Support preceptors and learners with objectives, deliberate practice, simulation, feedback, and evidence portfolios while keeping formal competency decisions human.</w:t>
      </w:r>
    </w:p>
    <w:p>
      <w:pPr>
        <w:keepLines/>
        <w:spacing w:before="0" w:after="100" w:line="278" w:lineRule="auto"/>
      </w:pPr>
      <w:r>
        <w:rPr>
          <w:rFonts w:ascii="Calibri" w:hAnsi="Calibri" w:eastAsia="Calibri"/>
          <w:b/>
          <w:color w:val="4653A3"/>
          <w:sz w:val="20"/>
        </w:rPr>
        <w:t xml:space="preserve">19. Quality, Safety, Infection Prevention &amp; Implementation Lab. </w:t>
      </w:r>
      <w:r>
        <w:rPr>
          <w:rFonts w:ascii="Calibri" w:hAnsi="Calibri" w:eastAsia="Calibri"/>
          <w:color w:val="1F2937"/>
          <w:sz w:val="20"/>
        </w:rPr>
        <w:t>Prepare systems-focused quality work, PDSA cycles, measures, infection-prevention questions, equipment reliability reviews, and implementation plans without replacing official reporting or governance.</w:t>
      </w:r>
    </w:p>
    <w:p>
      <w:pPr>
        <w:pStyle w:val="Heading2"/>
        <w:keepNext/>
      </w:pPr>
      <w:r>
        <w:t>H — Honor</w:t>
      </w:r>
    </w:p>
    <w:p>
      <w:pPr>
        <w:keepLines/>
        <w:spacing w:before="0" w:after="100" w:line="278" w:lineRule="auto"/>
      </w:pPr>
      <w:r>
        <w:rPr>
          <w:rFonts w:ascii="Calibri" w:hAnsi="Calibri" w:eastAsia="Calibri"/>
          <w:b/>
          <w:color w:val="7359A6"/>
          <w:sz w:val="20"/>
        </w:rPr>
        <w:t xml:space="preserve">20. Feedback, Conflict, Psychological Safety &amp; Advocacy Navigator. </w:t>
      </w:r>
      <w:r>
        <w:rPr>
          <w:rFonts w:ascii="Calibri" w:hAnsi="Calibri" w:eastAsia="Calibri"/>
          <w:color w:val="1F2937"/>
          <w:sz w:val="20"/>
        </w:rPr>
        <w:t>Help respiratory professionals seek feedback, prepare difficult conversations, raise safety concerns, and locate human support without deciding fault, rights, retaliation, impairment, or discipline.</w:t>
      </w:r>
    </w:p>
    <w:p>
      <w:pPr>
        <w:keepLines/>
        <w:spacing w:before="0" w:after="100" w:line="278" w:lineRule="auto"/>
      </w:pPr>
      <w:r>
        <w:rPr>
          <w:rFonts w:ascii="Calibri" w:hAnsi="Calibri" w:eastAsia="Calibri"/>
          <w:b/>
          <w:color w:val="7359A6"/>
          <w:sz w:val="20"/>
        </w:rPr>
        <w:t xml:space="preserve">21. Credential, Specialty, Career, Research &amp; Leadership Growth Map. </w:t>
      </w:r>
      <w:r>
        <w:rPr>
          <w:rFonts w:ascii="Calibri" w:hAnsi="Calibri" w:eastAsia="Calibri"/>
          <w:color w:val="1F2937"/>
          <w:sz w:val="20"/>
        </w:rPr>
        <w:t>Organize licensure, NBRC credential maintenance, CE, specialty pathways, education, research, leadership, portfolio, and opportunity decisions around capacity and purpose.</w:t>
      </w:r>
    </w:p>
    <w:p>
      <w:pPr>
        <w:pStyle w:val="Heading2"/>
        <w:keepNext/>
      </w:pPr>
      <w:r>
        <w:t>E — Engineer ethical agents</w:t>
      </w:r>
    </w:p>
    <w:p>
      <w:pPr>
        <w:keepLines/>
        <w:spacing w:before="0" w:after="100" w:line="278" w:lineRule="auto"/>
      </w:pPr>
      <w:r>
        <w:rPr>
          <w:rFonts w:ascii="Calibri" w:hAnsi="Calibri" w:eastAsia="Calibri"/>
          <w:b/>
          <w:color w:val="287A61"/>
          <w:sz w:val="20"/>
        </w:rPr>
        <w:t xml:space="preserve">22. AI Agent Charter, Tool, Permission &amp; Data Registry. </w:t>
      </w:r>
      <w:r>
        <w:rPr>
          <w:rFonts w:ascii="Calibri" w:hAnsi="Calibri" w:eastAsia="Calibri"/>
          <w:color w:val="1F2937"/>
          <w:sz w:val="20"/>
        </w:rPr>
        <w:t>Define every software agent before use: objective, owner, non-goals, data, tools, sources, permission, human checkpoints, expiry, kill, purge, rollback, and retirement.</w:t>
      </w:r>
    </w:p>
    <w:p>
      <w:pPr>
        <w:keepLines/>
        <w:spacing w:before="0" w:after="100" w:line="278" w:lineRule="auto"/>
      </w:pPr>
      <w:r>
        <w:rPr>
          <w:rFonts w:ascii="Calibri" w:hAnsi="Calibri" w:eastAsia="Calibri"/>
          <w:b/>
          <w:color w:val="287A61"/>
          <w:sz w:val="20"/>
        </w:rPr>
        <w:t xml:space="preserve">23. Multi-Agent Workflow, Device-Boundary &amp; Human-Handoff Designer. </w:t>
      </w:r>
      <w:r>
        <w:rPr>
          <w:rFonts w:ascii="Calibri" w:hAnsi="Calibri" w:eastAsia="Calibri"/>
          <w:color w:val="1F2937"/>
          <w:sz w:val="20"/>
        </w:rPr>
        <w:t>Design bounded agent sequences with minimal data, explicit dependencies, disagreement handling, device separation, human review order, and exact termination.</w:t>
      </w:r>
    </w:p>
    <w:p>
      <w:pPr>
        <w:keepLines/>
        <w:spacing w:before="0" w:after="100" w:line="278" w:lineRule="auto"/>
      </w:pPr>
      <w:r>
        <w:rPr>
          <w:rFonts w:ascii="Calibri" w:hAnsi="Calibri" w:eastAsia="Calibri"/>
          <w:b/>
          <w:color w:val="287A61"/>
          <w:sz w:val="20"/>
        </w:rPr>
        <w:t xml:space="preserve">24. Agent Output Audit, Incident, Kill, Rollback &amp; Retirement Controller. </w:t>
      </w:r>
      <w:r>
        <w:rPr>
          <w:rFonts w:ascii="Calibri" w:hAnsi="Calibri" w:eastAsia="Calibri"/>
          <w:color w:val="1F2937"/>
          <w:sz w:val="20"/>
        </w:rPr>
        <w:t>Inspect source provenance, uncertainty, bias, prompt injection, drift, security, action state, cost, and human edits while providing visible incident and retirement controls.</w:t>
      </w:r>
    </w:p>
    <w:p>
      <w:pPr>
        <w:pStyle w:val="Heading1"/>
        <w:keepNext/>
        <w:pageBreakBefore/>
      </w:pPr>
      <w:r>
        <w:t>Choose the correct context</w:t>
      </w:r>
    </w:p>
    <w:p>
      <w:pPr>
        <w:pStyle w:val="Heading2"/>
        <w:keepNext/>
      </w:pPr>
      <w:r>
        <w:t>Private Respiratory OS — the default</w:t>
      </w:r>
    </w:p>
    <w:p>
      <w:pPr>
        <w:spacing w:before="0" w:after="80" w:line="300" w:lineRule="auto"/>
        <w:keepNext/>
        <w:keepLines/>
        <w:numPr>
          <w:ilvl w:val="0"/>
          <w:numId w:val="10"/>
        </w:numPr>
      </w:pPr>
      <w:r>
        <w:rPr>
          <w:rFonts w:ascii="Calibri" w:hAnsi="Calibri" w:eastAsia="Calibri"/>
          <w:color w:val="1F2937"/>
          <w:sz w:val="22"/>
        </w:rPr>
        <w:t>Use professional-owned nonsensitive schedules, generic workload categories, public evidence, public manufacturer sources, clearly synthetic cases and waveforms, and professional credential-status sources. Family, finance, health-care-time, and whole-life details require a personally controlled isolated store.</w:t>
      </w:r>
    </w:p>
    <w:p>
      <w:pPr>
        <w:spacing w:before="0" w:after="80" w:line="300" w:lineRule="auto"/>
        <w:keepNext/>
        <w:keepLines/>
        <w:numPr>
          <w:ilvl w:val="0"/>
          <w:numId w:val="10"/>
        </w:numPr>
      </w:pPr>
      <w:r>
        <w:rPr>
          <w:rFonts w:ascii="Calibri" w:hAnsi="Calibri" w:eastAsia="Calibri"/>
          <w:color w:val="1F2937"/>
          <w:sz w:val="22"/>
        </w:rPr>
        <w:t>Do not enter PHI, a real patient/staff/learner/event story even if believed deidentified, chart or EHR content, orders, ABGs, waveforms, alarms, monitor or ventilator data, settings, event reports, patient lists or messages, screenshots, recordings, restricted institutional material, passwords, login credentials, API tokens, or keys.</w:t>
      </w:r>
    </w:p>
    <w:p>
      <w:pPr>
        <w:spacing w:before="0" w:after="80" w:line="300" w:lineRule="auto"/>
        <w:keepNext/>
        <w:keepLines/>
        <w:numPr>
          <w:ilvl w:val="0"/>
          <w:numId w:val="10"/>
        </w:numPr>
      </w:pPr>
      <w:r>
        <w:rPr>
          <w:rFonts w:ascii="Calibri" w:hAnsi="Calibri" w:eastAsia="Calibri"/>
          <w:color w:val="1F2937"/>
          <w:sz w:val="22"/>
        </w:rPr>
        <w:t>Do not connect a private AI to a ventilator, oxygen system, alarm, monitor, medication system, EHR, biomedical network, or other clinical device or data source.</w:t>
      </w:r>
    </w:p>
    <w:p>
      <w:pPr>
        <w:spacing w:before="0" w:after="80" w:line="300" w:lineRule="auto"/>
        <w:keepLines/>
        <w:numPr>
          <w:ilvl w:val="0"/>
          <w:numId w:val="10"/>
        </w:numPr>
      </w:pPr>
      <w:r>
        <w:rPr>
          <w:rFonts w:ascii="Calibri" w:hAnsi="Calibri" w:eastAsia="Calibri"/>
          <w:color w:val="1F2937"/>
          <w:sz w:val="22"/>
        </w:rPr>
        <w:t>Institution-managed contexts disable whole-life collection and retrieval. UI hiding is not separation; private data never enter employer, credential, competency, staffing, productivity, or institutional analytics.</w:t>
      </w:r>
    </w:p>
    <w:p>
      <w:pPr>
        <w:pStyle w:val="Heading2"/>
        <w:keepNext/>
      </w:pPr>
      <w:r>
        <w:t>Institution-Approved Workspace — separate authorization</w:t>
      </w:r>
    </w:p>
    <w:p>
      <w:pPr>
        <w:spacing w:before="0" w:after="80" w:line="300" w:lineRule="auto"/>
        <w:keepNext/>
        <w:keepLines/>
        <w:numPr>
          <w:ilvl w:val="0"/>
          <w:numId w:val="10"/>
        </w:numPr>
      </w:pPr>
      <w:r>
        <w:rPr>
          <w:rFonts w:ascii="Calibri" w:hAnsi="Calibri" w:eastAsia="Calibri"/>
          <w:color w:val="1F2937"/>
          <w:sz w:val="22"/>
        </w:rPr>
        <w:t>The institution must separately approve the exact platform, vendor and model, role, purpose, data, minimum necessary, source systems, device and network boundary, logging, retention, deletion, monitoring, incident route, and human owner.</w:t>
      </w:r>
    </w:p>
    <w:p>
      <w:pPr>
        <w:spacing w:before="0" w:after="80" w:line="300" w:lineRule="auto"/>
        <w:keepNext/>
        <w:keepLines/>
        <w:numPr>
          <w:ilvl w:val="0"/>
          <w:numId w:val="10"/>
        </w:numPr>
      </w:pPr>
      <w:r>
        <w:rPr>
          <w:rFonts w:ascii="Calibri" w:hAnsi="Calibri" w:eastAsia="Calibri"/>
          <w:color w:val="1F2937"/>
          <w:sz w:val="22"/>
        </w:rPr>
        <w:t>Clinical, education, quality, research, safety, personnel, and administrative partitions remain isolated; whole-life data are disabled and use a separate personally controlled store.</w:t>
      </w:r>
    </w:p>
    <w:p>
      <w:pPr>
        <w:spacing w:before="0" w:after="80" w:line="300" w:lineRule="auto"/>
        <w:keepNext/>
        <w:keepLines/>
        <w:numPr>
          <w:ilvl w:val="0"/>
          <w:numId w:val="10"/>
        </w:numPr>
      </w:pPr>
      <w:r>
        <w:rPr>
          <w:rFonts w:ascii="Calibri" w:hAnsi="Calibri" w:eastAsia="Calibri"/>
          <w:color w:val="1F2937"/>
          <w:sz w:val="22"/>
        </w:rPr>
        <w:t>Patient-specific output, if separately permitted at all, is read-only or sandboxed, source-linked, and time-stamped. AI cannot write to an EHR, order, event, patient-message, paging, or device system; an authorized human independently verifies, enters, and releases official content.</w:t>
      </w:r>
    </w:p>
    <w:p>
      <w:pPr>
        <w:spacing w:before="0" w:after="80" w:line="300" w:lineRule="auto"/>
        <w:keepLines/>
        <w:numPr>
          <w:ilvl w:val="0"/>
          <w:numId w:val="10"/>
        </w:numPr>
      </w:pPr>
      <w:r>
        <w:rPr>
          <w:rFonts w:ascii="Calibri" w:hAnsi="Calibri" w:eastAsia="Calibri"/>
          <w:color w:val="1F2937"/>
          <w:sz w:val="22"/>
        </w:rPr>
        <w:t>If approval cannot be verified, return to Private mode and remove patient, device, event, or institutional content. Installing BREATHE never creates or certifies institutional authorization.</w:t>
      </w:r>
    </w:p>
    <w:p>
      <w:pPr>
        <w:spacing w:before="120" w:after="200" w:line="276" w:lineRule="auto"/>
        <w:shd w:fill="FCE8E6"/>
        <w:pBdr>
          <w:left w:val="single" w:sz="18" w:space="8" w:color="9B1C1C"/>
        </w:pBdr>
        <w:ind w:left="180" w:right="120"/>
      </w:pPr>
      <w:r>
        <w:rPr>
          <w:rFonts w:ascii="Calibri" w:hAnsi="Calibri" w:eastAsia="Calibri"/>
          <w:b/>
          <w:color w:val="123047"/>
          <w:sz w:val="22"/>
        </w:rPr>
        <w:t xml:space="preserve">Privacy reality: </w:t>
      </w:r>
      <w:r>
        <w:rPr>
          <w:rFonts w:ascii="Calibri" w:hAnsi="Calibri" w:eastAsia="Calibri"/>
          <w:color w:val="1F2937"/>
          <w:sz w:val="22"/>
        </w:rPr>
        <w:t>Removing a name is not enough. Private mode accepts no real case or event narrative. Real de-identification requires an institution-approved method and process; free text, dates, rare combinations, context, screenshots, waveforms, event details, and linked facts can still identify a person.</w:t>
      </w:r>
    </w:p>
    <w:p>
      <w:pPr>
        <w:pStyle w:val="Heading1"/>
        <w:keepNext/>
        <w:pageBreakBefore/>
      </w:pPr>
      <w:r>
        <w:t>Before setup</w:t>
      </w:r>
    </w:p>
    <w:p>
      <w:pPr>
        <w:keepNext/>
        <w:spacing w:before="0" w:after="80" w:line="300" w:lineRule="auto"/>
        <w:keepLines/>
        <w:numPr>
          <w:ilvl w:val="0"/>
          <w:numId w:val="12"/>
        </w:numPr>
      </w:pPr>
      <w:r>
        <w:rPr>
          <w:rFonts w:ascii="Calibri" w:hAnsi="Calibri" w:eastAsia="Calibri"/>
          <w:color w:val="1F2937"/>
          <w:sz w:val="22"/>
        </w:rPr>
        <w:t>Use a private authenticated workspace controlled by the respiratory professional or a proven-isolated Respiratory Care setup.</w:t>
      </w:r>
    </w:p>
    <w:p>
      <w:pPr>
        <w:keepNext/>
        <w:spacing w:before="0" w:after="80" w:line="300" w:lineRule="auto"/>
        <w:keepLines/>
        <w:numPr>
          <w:ilvl w:val="0"/>
          <w:numId w:val="12"/>
        </w:numPr>
      </w:pPr>
      <w:r>
        <w:rPr>
          <w:rFonts w:ascii="Calibri" w:hAnsi="Calibri" w:eastAsia="Calibri"/>
          <w:color w:val="1F2937"/>
          <w:sz w:val="22"/>
        </w:rPr>
        <w:t>Prepare the single Complete Edition Markdown file.</w:t>
      </w:r>
    </w:p>
    <w:p>
      <w:pPr>
        <w:keepNext/>
        <w:spacing w:before="0" w:after="80" w:line="300" w:lineRule="auto"/>
        <w:keepLines/>
        <w:numPr>
          <w:ilvl w:val="0"/>
          <w:numId w:val="12"/>
        </w:numPr>
      </w:pPr>
      <w:r>
        <w:rPr>
          <w:rFonts w:ascii="Calibri" w:hAnsi="Calibri" w:eastAsia="Calibri"/>
          <w:color w:val="1F2937"/>
          <w:sz w:val="22"/>
        </w:rPr>
        <w:t>Keep separate the exact local job title, NBRC credential, state license/permit, learner status, active role or hat, verified task-specific competencies, jurisdiction, site, service, and human routes. Unknown blocks consequential use.</w:t>
      </w:r>
    </w:p>
    <w:p>
      <w:pPr>
        <w:keepNext/>
        <w:spacing w:before="0" w:after="80" w:line="300" w:lineRule="auto"/>
        <w:keepLines/>
        <w:numPr>
          <w:ilvl w:val="0"/>
          <w:numId w:val="12"/>
        </w:numPr>
      </w:pPr>
      <w:r>
        <w:rPr>
          <w:rFonts w:ascii="Calibri" w:hAnsi="Calibri" w:eastAsia="Calibri"/>
          <w:color w:val="1F2937"/>
          <w:sz w:val="22"/>
        </w:rPr>
        <w:t>Identify current local sources for scope, orders, protocols, medical direction, equipment and manufacturer instructions, staffing escalation, emergency response, and privacy.</w:t>
      </w:r>
    </w:p>
    <w:p>
      <w:pPr>
        <w:keepNext/>
        <w:spacing w:before="0" w:after="80" w:line="300" w:lineRule="auto"/>
        <w:keepLines/>
        <w:numPr>
          <w:ilvl w:val="0"/>
          <w:numId w:val="12"/>
        </w:numPr>
      </w:pPr>
      <w:r>
        <w:rPr>
          <w:rFonts w:ascii="Calibri" w:hAnsi="Calibri" w:eastAsia="Calibri"/>
          <w:color w:val="1F2937"/>
          <w:sz w:val="22"/>
        </w:rPr>
        <w:t>Name the clinical, medical, operational, education, quality, biomedical, privacy, security, and emergency human routes relevant to the desired features.</w:t>
      </w:r>
    </w:p>
    <w:p>
      <w:pPr>
        <w:keepNext/>
        <w:spacing w:before="0" w:after="80" w:line="300" w:lineRule="auto"/>
        <w:keepLines/>
        <w:numPr>
          <w:ilvl w:val="0"/>
          <w:numId w:val="12"/>
        </w:numPr>
      </w:pPr>
      <w:r>
        <w:rPr>
          <w:rFonts w:ascii="Calibri" w:hAnsi="Calibri" w:eastAsia="Calibri"/>
          <w:color w:val="1F2937"/>
          <w:sz w:val="22"/>
        </w:rPr>
        <w:t>Choose one protected-life commitment only in a personally controlled isolated store; otherwise use a route label and omit personal details.</w:t>
      </w:r>
    </w:p>
    <w:p>
      <w:pPr>
        <w:spacing w:before="0" w:after="80" w:line="300" w:lineRule="auto"/>
        <w:keepLines/>
        <w:numPr>
          <w:ilvl w:val="0"/>
          <w:numId w:val="12"/>
        </w:numPr>
      </w:pPr>
      <w:r>
        <w:rPr>
          <w:rFonts w:ascii="Calibri" w:hAnsi="Calibri" w:eastAsia="Calibri"/>
          <w:color w:val="1F2937"/>
          <w:sz w:val="22"/>
        </w:rPr>
        <w:t>Expect several turns. Nothing continues after the installation conversation ends.</w:t>
      </w:r>
    </w:p>
    <w:p>
      <w:pPr>
        <w:pStyle w:val="Heading2"/>
        <w:keepNext/>
      </w:pPr>
      <w:r>
        <w:t>Paste this single installation prompt</w:t>
      </w:r>
    </w:p>
    <w:p>
      <w:pPr>
        <w:spacing w:before="120" w:after="200" w:line="276" w:lineRule="auto"/>
        <w:shd w:fill="E9F6FA"/>
        <w:pBdr>
          <w:left w:val="single" w:sz="18" w:space="8" w:color="167C9E"/>
        </w:pBdr>
        <w:ind w:left="180" w:right="120"/>
      </w:pPr>
      <w:r>
        <w:rPr>
          <w:rFonts w:ascii="Calibri" w:hAnsi="Calibri" w:eastAsia="Calibri"/>
          <w:b/>
          <w:color w:val="123047"/>
          <w:sz w:val="22"/>
        </w:rPr>
        <w:t xml:space="preserve">Installation prompt — part 1 of 2: </w:t>
      </w:r>
      <w:r>
        <w:rPr>
          <w:rFonts w:ascii="Calibri" w:hAnsi="Calibri" w:eastAsia="Calibri"/>
          <w:color w:val="1F2937"/>
          <w:sz w:val="22"/>
        </w:rPr>
        <w:t>Install `BREATHE — Respiratory Care Complete AI OS` from this complete program in a new or verified-isolated `respiratory_care` lane. Treat every embedded component as authoritative installation content. Start with read-only preflight and make no change until I approve one combined Activation Card. Ask only minimum questions one at a time; accept Skip, Not now and Use this session only. Keep separate fields for my local job title, NBRC credential, state license or permit, learner status, active role or hat, task-specific competency, jurisdiction, site and service; infer no equivalence or scope. Default to Private Respiratory OS, no PHI, no patient-specific live care, no EHR or device data, no device connection or control, conversation/model memory session-only, connectors Off, external actions Off, all 10 suggested agents PERM-P0 Disabled and all 24 SuperPowers Available Inactive.</w:t>
      </w:r>
    </w:p>
    <w:p>
      <w:pPr>
        <w:spacing w:before="120" w:after="200" w:line="276" w:lineRule="auto"/>
        <w:shd w:fill="E9F6FA"/>
        <w:pBdr>
          <w:left w:val="single" w:sz="18" w:space="8" w:color="167C9E"/>
        </w:pBdr>
        <w:ind w:left="180" w:right="120"/>
      </w:pPr>
      <w:r>
        <w:rPr>
          <w:rFonts w:ascii="Calibri" w:hAnsi="Calibri" w:eastAsia="Calibri"/>
          <w:b/>
          <w:color w:val="123047"/>
          <w:sz w:val="22"/>
        </w:rPr>
        <w:t xml:space="preserve">Installation prompt — part 2 of 2: </w:t>
      </w:r>
      <w:r>
        <w:rPr>
          <w:rFonts w:ascii="Calibri" w:hAnsi="Calibri" w:eastAsia="Calibri"/>
          <w:color w:val="1F2937"/>
          <w:sz w:val="22"/>
        </w:rPr>
        <w:t>Persist only workspace artifacts I explicitly approve, with visible owner, ACL, retention and deletion. Never embed, call, migrate, alias or share state with another population. Build exactly one `My BREATHE` home with the Core Four and an empty optional fifth launcher. Run SCOPE for all consequential work, CIRCLE for care coordination and ORBIT for agents. Create S0, S1 and S2 receipts; run all 160 evidence-bearing release checks; stop on any critical blocker; and wait for approval before mutation, activation, connection, artifact persistence or external action. This installation may take several turns and does not continue in the background. Finish only with the BREATHE Activation Report and first safe-use instruction.</w:t>
      </w:r>
    </w:p>
    <w:p>
      <w:pPr>
        <w:pStyle w:val="Heading1"/>
        <w:keepNext/>
        <w:pageBreakBefore/>
      </w:pPr>
      <w:r>
        <w:t>Installation phases and receipts</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800"/>
        <w:gridCol w:w="6300"/>
        <w:gridCol w:w="2260"/>
      </w:tblGrid>
      <w:tr>
        <w:trPr>
          <w:cantSplit/>
          <w:tblHeader w:val="true"/>
          <w:cantSplit/>
        </w:trPr>
        <w:tc>
          <w:tcPr>
            <w:tcW w:type="dxa" w:w="8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Phase</w:t>
            </w:r>
          </w:p>
        </w:tc>
        <w:tc>
          <w:tcPr>
            <w:tcW w:type="dxa" w:w="63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Work</w:t>
            </w:r>
          </w:p>
        </w:tc>
        <w:tc>
          <w:tcPr>
            <w:tcW w:type="dxa" w:w="226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Result</w:t>
            </w:r>
          </w:p>
        </w:tc>
      </w:tr>
      <w:tr>
        <w:trPr>
          <w:cantSplit/>
        </w:trPr>
        <w:tc>
          <w:tcPr>
            <w:tcW w:type="dxa" w:w="8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0</w:t>
            </w:r>
          </w:p>
        </w:tc>
        <w:tc>
          <w:tcPr>
            <w:tcW w:type="dxa" w:w="63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Read-only preflight, identity, target, lane isolation, capabilities, conflicts, no-device boundary, recovery, and no-background warning.</w:t>
            </w:r>
          </w:p>
        </w:tc>
        <w:tc>
          <w:tcPr>
            <w:tcW w:type="dxa" w:w="22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No mutation</w:t>
            </w:r>
          </w:p>
        </w:tc>
      </w:tr>
      <w:tr>
        <w:trPr>
          <w:cantSplit/>
        </w:trPr>
        <w:tc>
          <w:tcPr>
            <w:tcW w:type="dxa" w:w="8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1</w:t>
            </w:r>
          </w:p>
        </w:tc>
        <w:tc>
          <w:tcPr>
            <w:tcW w:type="dxa" w:w="63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Minimum questions and one combined Activation Card.</w:t>
            </w:r>
          </w:p>
        </w:tc>
        <w:tc>
          <w:tcPr>
            <w:tcW w:type="dxa" w:w="22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Awaiting exact approval</w:t>
            </w:r>
          </w:p>
        </w:tc>
      </w:tr>
      <w:tr>
        <w:trPr>
          <w:cantSplit/>
        </w:trPr>
        <w:tc>
          <w:tcPr>
            <w:tcW w:type="dxa" w:w="8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2</w:t>
            </w:r>
          </w:p>
        </w:tc>
        <w:tc>
          <w:tcPr>
            <w:tcW w:type="dxa" w:w="63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S0, foundation, Trust Shield, SCOPE, 18 typed schemas, Source Watch, My BREATHE shell, RA-A01–RA-I08.</w:t>
            </w:r>
          </w:p>
        </w:tc>
        <w:tc>
          <w:tcPr>
            <w:tcW w:type="dxa" w:w="22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S1 • no overlay claim</w:t>
            </w:r>
          </w:p>
        </w:tc>
      </w:tr>
      <w:tr>
        <w:trPr>
          <w:cantSplit/>
        </w:trPr>
        <w:tc>
          <w:tcPr>
            <w:tcW w:type="dxa" w:w="8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3</w:t>
            </w:r>
          </w:p>
        </w:tc>
        <w:tc>
          <w:tcPr>
            <w:tcW w:type="dxa" w:w="63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CIRCLE, ORBIT, seven pillars, 24 Available Inactive powers, 10 PERM-P0 Disabled agents, 24 runnable workflows, 30 functional templates.</w:t>
            </w:r>
          </w:p>
        </w:tc>
        <w:tc>
          <w:tcPr>
            <w:tcW w:type="dxa" w:w="22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S2</w:t>
            </w:r>
          </w:p>
        </w:tc>
      </w:tr>
      <w:tr>
        <w:trPr>
          <w:cantSplit/>
        </w:trPr>
        <w:tc>
          <w:tcPr>
            <w:tcW w:type="dxa" w:w="8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4</w:t>
            </w:r>
          </w:p>
        </w:tc>
        <w:tc>
          <w:tcPr>
            <w:tcW w:type="dxa" w:w="63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RA-J01–RA-R08 plus RA-INT01–RA-INT16; evidence required for every result.</w:t>
            </w:r>
          </w:p>
        </w:tc>
        <w:tc>
          <w:tcPr>
            <w:tcW w:type="dxa" w:w="22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Passed or Blocked</w:t>
            </w:r>
          </w:p>
        </w:tc>
      </w:tr>
      <w:tr>
        <w:trPr>
          <w:cantSplit/>
        </w:trPr>
        <w:tc>
          <w:tcPr>
            <w:tcW w:type="dxa" w:w="8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5</w:t>
            </w:r>
          </w:p>
        </w:tc>
        <w:tc>
          <w:tcPr>
            <w:tcW w:type="dxa" w:w="63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Activation Report, first safe use, review dates, recovery and uninstall paths.</w:t>
            </w:r>
          </w:p>
        </w:tc>
        <w:tc>
          <w:tcPr>
            <w:tcW w:type="dxa" w:w="22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Complete</w:t>
            </w:r>
          </w:p>
        </w:tc>
      </w:tr>
    </w:tbl>
    <w:p>
      <w:pPr>
        <w:spacing w:before="0" w:after="40"/>
      </w:pPr>
    </w:p>
    <w:p>
      <w:pPr>
        <w:pStyle w:val="Heading2"/>
        <w:keepNext/>
      </w:pPr>
      <w:r>
        <w:t>If interrupted</w:t>
      </w:r>
    </w:p>
    <w:p>
      <w:pPr>
        <w:spacing w:before="120" w:after="200" w:line="276" w:lineRule="auto"/>
        <w:shd w:fill="F2F4F7"/>
        <w:pBdr>
          <w:left w:val="single" w:sz="18" w:space="8" w:color="2E74B5"/>
        </w:pBdr>
        <w:ind w:left="180" w:right="120"/>
      </w:pPr>
      <w:r>
        <w:rPr>
          <w:rFonts w:ascii="Calibri" w:hAnsi="Calibri" w:eastAsia="Calibri"/>
          <w:b/>
          <w:color w:val="123047"/>
          <w:sz w:val="22"/>
        </w:rPr>
        <w:t xml:space="preserve">Resume exactly: </w:t>
      </w:r>
      <w:r>
        <w:rPr>
          <w:rFonts w:ascii="Calibri" w:hAnsi="Calibri" w:eastAsia="Calibri"/>
          <w:color w:val="1F2937"/>
          <w:sz w:val="22"/>
        </w:rPr>
        <w:t>RESUME RCAIOS-BREATHE-COMPLETE-1.0 FROM CHECKPOINT &lt;S0|S1|S2&gt; USING SAVED RECEIPT; REVALIDATE OWNER, ISOLATED RESPIRATORY_CARE LANE, RESP_BREATHE NAMESPACE, EXACT ROLE, TITLE, CREDENTIAL, LICENSE, COMPETENCY, SITE, SERVICE, CONTEXT, NO-PHI AND NO-DEVICE BOUNDARY, HUMAN ROUTES, SOURCES, PERMISSIONS, SCOPE, CIRCLE, ORBIT, MY BREATHE, AGENT KILL SWITCH, AND RECOVERY CONTROLS; DO NOT RESTART COMPLETED STAGES OR ASSUME STATE.</w:t>
      </w:r>
    </w:p>
    <w:p>
      <w:pPr>
        <w:spacing w:before="0" w:after="80" w:line="300" w:lineRule="auto"/>
        <w:keepNext/>
        <w:keepLines/>
        <w:numPr>
          <w:ilvl w:val="0"/>
          <w:numId w:val="10"/>
        </w:numPr>
      </w:pPr>
      <w:r>
        <w:rPr>
          <w:rFonts w:ascii="Calibri" w:hAnsi="Calibri" w:eastAsia="Calibri"/>
          <w:color w:val="1F2937"/>
          <w:sz w:val="22"/>
        </w:rPr>
        <w:t>Hermes revalidates identity, isolation, title, credential and competency, site and service, context, human routes, no-PHI/no-device boundary, sources, permissions, frameworks, dashboard, and recovery controls.</w:t>
      </w:r>
    </w:p>
    <w:p>
      <w:pPr>
        <w:spacing w:before="0" w:after="80" w:line="300" w:lineRule="auto"/>
        <w:keepNext/>
        <w:keepLines/>
        <w:numPr>
          <w:ilvl w:val="0"/>
          <w:numId w:val="10"/>
        </w:numPr>
      </w:pPr>
      <w:r>
        <w:rPr>
          <w:rFonts w:ascii="Calibri" w:hAnsi="Calibri" w:eastAsia="Calibri"/>
          <w:color w:val="1F2937"/>
          <w:sz w:val="22"/>
        </w:rPr>
        <w:t>Hermes does not repeat completed mutations, duplicate records or pages, or assume a prior state.</w:t>
      </w:r>
    </w:p>
    <w:p>
      <w:pPr>
        <w:spacing w:before="0" w:after="80" w:line="300" w:lineRule="auto"/>
        <w:keepLines/>
        <w:numPr>
          <w:ilvl w:val="0"/>
          <w:numId w:val="10"/>
        </w:numPr>
      </w:pPr>
      <w:r>
        <w:rPr>
          <w:rFonts w:ascii="Calibri" w:hAnsi="Calibri" w:eastAsia="Calibri"/>
          <w:color w:val="1F2937"/>
          <w:sz w:val="22"/>
        </w:rPr>
        <w:t>If no verified checkpoint exists, Hermes performs a read-only inventory and stops before mutation.</w:t>
      </w:r>
    </w:p>
    <w:p>
      <w:pPr>
        <w:pStyle w:val="Heading1"/>
        <w:keepNext/>
        <w:pageBreakBefore/>
      </w:pPr>
      <w:r>
        <w:t>First safe use</w:t>
      </w:r>
    </w:p>
    <w:p>
      <w:pPr>
        <w:spacing w:before="0" w:after="240" w:line="288" w:lineRule="auto"/>
      </w:pPr>
      <w:r>
        <w:rPr>
          <w:rFonts w:ascii="Calibri" w:hAnsi="Calibri" w:eastAsia="Calibri"/>
          <w:b/>
          <w:color w:val="123047"/>
          <w:sz w:val="26"/>
        </w:rPr>
        <w:t>Begin only after the final BREATHE Activation Report. Use professional-owned nonsensitive information, public sources, and clearly synthetic scenarios.</w:t>
      </w:r>
    </w:p>
    <w:p>
      <w:pPr>
        <w:spacing w:before="120" w:after="200" w:line="276" w:lineRule="auto"/>
        <w:shd w:fill="E8F5F3"/>
        <w:pBdr>
          <w:left w:val="single" w:sz="18" w:space="8" w:color="0B7A75"/>
        </w:pBdr>
        <w:ind w:left="180" w:right="120"/>
      </w:pPr>
      <w:r>
        <w:rPr>
          <w:rFonts w:ascii="Calibri" w:hAnsi="Calibri" w:eastAsia="Calibri"/>
          <w:b/>
          <w:color w:val="123047"/>
          <w:sz w:val="22"/>
        </w:rPr>
        <w:t xml:space="preserve">Ask Hermes: </w:t>
      </w:r>
      <w:r>
        <w:rPr>
          <w:rFonts w:ascii="Calibri" w:hAnsi="Calibri" w:eastAsia="Calibri"/>
          <w:color w:val="1F2937"/>
          <w:sz w:val="22"/>
        </w:rPr>
        <w:t>Open My BREATHE in the isolated Respiratory Care lane and Private Respiratory OS. Use only professional-owned nonsensitive information, public sources, and clearly synthetic examples. Separately show my local title, NBRC credential, license or permit, learner status, active role or hat, verified competency source, jurisdiction, site, service, clinical and operational human routes, SCOPE status, Top Three, capacity and recovery item, one learning priority, one generic equipment-source question, one synthetic or process-only CIRCLE item, human decision queue, source freshness, all 24 power states, all 10 agent states, and permanent Privacy, Pause All, and Kill controls. Label every unknown, stale source, AI interpretation, conflict, missing owner, and human-verification need. Do not request or use PHI, a real case or event story, patient-specific live-care information, EHR, order, ABG, waveform, alarm, monitor, ventilator, oxygen-device, medication, event, or restricted institutional data; do not connect to or control any device. Do not save new memory, connect, share, send, schedule, report, publish, release, activate, automate, infer authority, or change care. Help me choose one low-risk First Ritual and create one professional-controlled artifact with an expiry.</w:t>
      </w:r>
    </w:p>
    <w:p>
      <w:pPr>
        <w:pStyle w:val="Heading2"/>
        <w:keepNext/>
      </w:pPr>
      <w:r>
        <w:t>Good First Rituals</w:t>
      </w:r>
    </w:p>
    <w:p>
      <w:pPr>
        <w:spacing w:before="0" w:after="80" w:line="300" w:lineRule="auto"/>
        <w:keepNext/>
        <w:keepLines/>
        <w:numPr>
          <w:ilvl w:val="0"/>
          <w:numId w:val="10"/>
        </w:numPr>
      </w:pPr>
      <w:r>
        <w:rPr>
          <w:rFonts w:ascii="Calibri" w:hAnsi="Calibri" w:eastAsia="Calibri"/>
          <w:color w:val="1F2937"/>
          <w:sz w:val="22"/>
        </w:rPr>
        <w:t>Exact-role, site, service, credential, competency, and source-orientation questions</w:t>
      </w:r>
    </w:p>
    <w:p>
      <w:pPr>
        <w:spacing w:before="0" w:after="80" w:line="300" w:lineRule="auto"/>
        <w:keepNext/>
        <w:keepLines/>
        <w:numPr>
          <w:ilvl w:val="0"/>
          <w:numId w:val="10"/>
        </w:numPr>
      </w:pPr>
      <w:r>
        <w:rPr>
          <w:rFonts w:ascii="Calibri" w:hAnsi="Calibri" w:eastAsia="Calibri"/>
          <w:color w:val="1F2937"/>
          <w:sz w:val="22"/>
        </w:rPr>
        <w:t>Shift Top Three, break and recovery plan, protected-life item, and Plan B</w:t>
      </w:r>
    </w:p>
    <w:p>
      <w:pPr>
        <w:spacing w:before="0" w:after="80" w:line="300" w:lineRule="auto"/>
        <w:keepNext/>
        <w:keepLines/>
        <w:numPr>
          <w:ilvl w:val="0"/>
          <w:numId w:val="10"/>
        </w:numPr>
      </w:pPr>
      <w:r>
        <w:rPr>
          <w:rFonts w:ascii="Calibri" w:hAnsi="Calibri" w:eastAsia="Calibri"/>
          <w:color w:val="1F2937"/>
          <w:sz w:val="22"/>
        </w:rPr>
        <w:t>Generic evidence brief or clearly synthetic ABG, assessment, ventilator, waveform, or alarm learning case</w:t>
      </w:r>
    </w:p>
    <w:p>
      <w:pPr>
        <w:spacing w:before="0" w:after="80" w:line="300" w:lineRule="auto"/>
        <w:keepNext/>
        <w:keepLines/>
        <w:numPr>
          <w:ilvl w:val="0"/>
          <w:numId w:val="10"/>
        </w:numPr>
      </w:pPr>
      <w:r>
        <w:rPr>
          <w:rFonts w:ascii="Calibri" w:hAnsi="Calibri" w:eastAsia="Calibri"/>
          <w:color w:val="1F2937"/>
          <w:sz w:val="22"/>
        </w:rPr>
        <w:t>Generic equipment, circuit, interface, supply, backup, cleaning, or manufacturer-source map</w:t>
      </w:r>
    </w:p>
    <w:p>
      <w:pPr>
        <w:spacing w:before="0" w:after="80" w:line="300" w:lineRule="auto"/>
        <w:keepNext/>
        <w:keepLines/>
        <w:numPr>
          <w:ilvl w:val="0"/>
          <w:numId w:val="10"/>
        </w:numPr>
      </w:pPr>
      <w:r>
        <w:rPr>
          <w:rFonts w:ascii="Calibri" w:hAnsi="Calibri" w:eastAsia="Calibri"/>
          <w:color w:val="1F2937"/>
          <w:sz w:val="22"/>
        </w:rPr>
        <w:t>Synthetic CIRCLE rounds, consult, transport, airway, response, or transition rehearsal</w:t>
      </w:r>
    </w:p>
    <w:p>
      <w:pPr>
        <w:spacing w:before="0" w:after="80" w:line="300" w:lineRule="auto"/>
        <w:keepNext/>
        <w:keepLines/>
        <w:numPr>
          <w:ilvl w:val="0"/>
          <w:numId w:val="10"/>
        </w:numPr>
      </w:pPr>
      <w:r>
        <w:rPr>
          <w:rFonts w:ascii="Calibri" w:hAnsi="Calibri" w:eastAsia="Calibri"/>
          <w:color w:val="1F2937"/>
          <w:sz w:val="22"/>
        </w:rPr>
        <w:t>Feedback, preceptor, simulation, quality, infection-prevention, credential, career, or leadership plan</w:t>
      </w:r>
    </w:p>
    <w:p>
      <w:pPr>
        <w:spacing w:before="0" w:after="80" w:line="300" w:lineRule="auto"/>
        <w:keepLines/>
        <w:numPr>
          <w:ilvl w:val="0"/>
          <w:numId w:val="10"/>
        </w:numPr>
      </w:pPr>
      <w:r>
        <w:rPr>
          <w:rFonts w:ascii="Calibri" w:hAnsi="Calibri" w:eastAsia="Calibri"/>
          <w:color w:val="1F2937"/>
          <w:sz w:val="22"/>
        </w:rPr>
        <w:t>Private whole-life Minimum Mode and safe-transport options—only in a personally controlled isolated store</w:t>
      </w:r>
    </w:p>
    <w:p>
      <w:pPr>
        <w:spacing w:before="120" w:after="200" w:line="276" w:lineRule="auto"/>
        <w:shd w:fill="EEF0FA"/>
        <w:pBdr>
          <w:left w:val="single" w:sz="18" w:space="8" w:color="4653A3"/>
        </w:pBdr>
        <w:ind w:left="180" w:right="120"/>
      </w:pPr>
      <w:r>
        <w:rPr>
          <w:rFonts w:ascii="Calibri" w:hAnsi="Calibri" w:eastAsia="Calibri"/>
          <w:b/>
          <w:color w:val="123047"/>
          <w:sz w:val="22"/>
        </w:rPr>
        <w:t xml:space="preserve">First Ritual close: </w:t>
      </w:r>
      <w:r>
        <w:rPr>
          <w:rFonts w:ascii="Calibri" w:hAnsi="Calibri" w:eastAsia="Calibri"/>
          <w:color w:val="1F2937"/>
          <w:sz w:val="22"/>
        </w:rPr>
        <w:t>Run SCOPE; add CIRCLE or ORBIT only when relevant; create one bounded artifact; name the exact human owner; preserve source, uncertainty, and device boundaries; choose the smallest safe professional-controlled step; and set an expiry.</w:t>
      </w:r>
    </w:p>
    <w:p>
      <w:pPr>
        <w:pStyle w:val="Heading1"/>
        <w:keepNext/>
        <w:pageBreakBefore/>
      </w:pPr>
      <w:r>
        <w:t>Clinical and device boundaries — preparation is not control</w:t>
      </w:r>
    </w:p>
    <w:p>
      <w:pPr>
        <w:spacing w:before="0" w:after="240" w:line="288" w:lineRule="auto"/>
      </w:pPr>
      <w:r>
        <w:rPr>
          <w:rFonts w:ascii="Calibri" w:hAnsi="Calibri" w:eastAsia="Calibri"/>
          <w:b/>
          <w:color w:val="123047"/>
          <w:sz w:val="26"/>
        </w:rPr>
        <w:t>BREATHE can support generic learning, source verification, rehearsal, and process preparation. It never becomes a bedside device, alarm system, monitor, clinical source of truth, or autonomous respiratory-care actor.</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4550"/>
        <w:gridCol w:w="4810"/>
      </w:tblGrid>
      <w:tr>
        <w:trPr>
          <w:cantSplit/>
          <w:tblHeader w:val="true"/>
          <w:cantSplit/>
        </w:trPr>
        <w:tc>
          <w:tcPr>
            <w:tcW w:type="dxa" w:w="455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BREATHE may prepare</w:t>
            </w:r>
          </w:p>
        </w:tc>
        <w:tc>
          <w:tcPr>
            <w:tcW w:type="dxa" w:w="481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Authorized humans and official systems retain</w:t>
            </w:r>
          </w:p>
        </w:tc>
      </w:tr>
      <w:tr>
        <w:trPr>
          <w:cantSplit/>
        </w:trPr>
        <w:tc>
          <w:tcPr>
            <w:tcW w:type="dxa" w:w="45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Synthetic ABG, acid–base, gas-exchange, assessment, and trend learning</w:t>
            </w:r>
          </w:p>
        </w:tc>
        <w:tc>
          <w:tcPr>
            <w:tcW w:type="dxa" w:w="481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Interpretation and action for real results, diagnosis, triage, targets, and treatment</w:t>
            </w:r>
          </w:p>
        </w:tc>
      </w:tr>
      <w:tr>
        <w:trPr>
          <w:cantSplit/>
        </w:trPr>
        <w:tc>
          <w:tcPr>
            <w:tcW w:type="dxa" w:w="45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Synthetic ventilator mode, waveform, loop, synchrony, alarm, and troubleshooting rehearsal</w:t>
            </w:r>
          </w:p>
        </w:tc>
        <w:tc>
          <w:tcPr>
            <w:tcW w:type="dxa" w:w="481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Live settings, modes, alarm limits, monitoring, troubleshooting, and patient/device action</w:t>
            </w:r>
          </w:p>
        </w:tc>
      </w:tr>
      <w:tr>
        <w:trPr>
          <w:cantSplit/>
        </w:trPr>
        <w:tc>
          <w:tcPr>
            <w:tcW w:type="dxa" w:w="45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Generic oxygen, aerosol, humidification, interface, circuit, supply, and education comparisons</w:t>
            </w:r>
          </w:p>
        </w:tc>
        <w:tc>
          <w:tcPr>
            <w:tcW w:type="dxa" w:w="481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Patient-specific device, medication, flow, dose, target, response, and official documentation</w:t>
            </w:r>
          </w:p>
        </w:tc>
      </w:tr>
      <w:tr>
        <w:trPr>
          <w:cantSplit/>
        </w:trPr>
        <w:tc>
          <w:tcPr>
            <w:tcW w:type="dxa" w:w="45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Generic transport, procedure, airway, code, rapid-response, equipment-failure, and contingency rehearsal</w:t>
            </w:r>
          </w:p>
        </w:tc>
        <w:tc>
          <w:tcPr>
            <w:tcW w:type="dxa" w:w="481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Live readiness, airway, procedure, transport, emergency, equipment, and clinical decisions</w:t>
            </w:r>
          </w:p>
        </w:tc>
      </w:tr>
      <w:tr>
        <w:trPr>
          <w:cantSplit/>
        </w:trPr>
        <w:tc>
          <w:tcPr>
            <w:tcW w:type="dxa" w:w="45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Generic liberation, NIV, tracheostomy, education, transition, and follow-up questions</w:t>
            </w:r>
          </w:p>
        </w:tc>
        <w:tc>
          <w:tcPr>
            <w:tcW w:type="dxa" w:w="481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Patient readiness, orders, treatment, disposition, handoff, consent, and follow-up responsibility</w:t>
            </w:r>
          </w:p>
        </w:tc>
      </w:tr>
    </w:tbl>
    <w:p>
      <w:pPr>
        <w:spacing w:before="0" w:after="40"/>
      </w:pPr>
    </w:p>
    <w:p>
      <w:pPr>
        <w:pStyle w:val="Heading2"/>
        <w:keepNext/>
      </w:pPr>
      <w:r>
        <w:t>Absolute device boundary</w:t>
      </w:r>
    </w:p>
    <w:p>
      <w:pPr>
        <w:spacing w:before="0" w:after="80" w:line="300" w:lineRule="auto"/>
        <w:keepNext/>
        <w:keepLines/>
        <w:numPr>
          <w:ilvl w:val="0"/>
          <w:numId w:val="10"/>
        </w:numPr>
      </w:pPr>
      <w:r>
        <w:rPr>
          <w:rFonts w:ascii="Calibri" w:hAnsi="Calibri" w:eastAsia="Calibri"/>
          <w:color w:val="1F2937"/>
          <w:sz w:val="22"/>
        </w:rPr>
        <w:t>No autonomous ventilator, oxygen, medication, airway, alarm, monitor, suction, intubation, extubation, NIV, CPAP, transport, or procedure action.</w:t>
      </w:r>
    </w:p>
    <w:p>
      <w:pPr>
        <w:spacing w:before="0" w:after="80" w:line="300" w:lineRule="auto"/>
        <w:keepNext/>
        <w:keepLines/>
        <w:numPr>
          <w:ilvl w:val="0"/>
          <w:numId w:val="10"/>
        </w:numPr>
      </w:pPr>
      <w:r>
        <w:rPr>
          <w:rFonts w:ascii="Calibri" w:hAnsi="Calibri" w:eastAsia="Calibri"/>
          <w:color w:val="1F2937"/>
          <w:sz w:val="22"/>
        </w:rPr>
        <w:t>No connection to a ventilator, alarm system, monitor, oxygen system, medication system, EHR, biomedical network, or clinical device in Private mode.</w:t>
      </w:r>
    </w:p>
    <w:p>
      <w:pPr>
        <w:spacing w:before="0" w:after="80" w:line="300" w:lineRule="auto"/>
        <w:keepNext/>
        <w:keepLines/>
        <w:numPr>
          <w:ilvl w:val="0"/>
          <w:numId w:val="10"/>
        </w:numPr>
      </w:pPr>
      <w:r>
        <w:rPr>
          <w:rFonts w:ascii="Calibri" w:hAnsi="Calibri" w:eastAsia="Calibri"/>
          <w:color w:val="1F2937"/>
          <w:sz w:val="22"/>
        </w:rPr>
        <w:t>No patient-specific setting, mode, alarm-limit, flow, dose, target, order, readiness, diagnosis, triage, or treatment recommendation from Private mode.</w:t>
      </w:r>
    </w:p>
    <w:p>
      <w:pPr>
        <w:spacing w:before="0" w:after="80" w:line="300" w:lineRule="auto"/>
        <w:keepNext/>
        <w:keepLines/>
        <w:numPr>
          <w:ilvl w:val="0"/>
          <w:numId w:val="10"/>
        </w:numPr>
      </w:pPr>
      <w:r>
        <w:rPr>
          <w:rFonts w:ascii="Calibri" w:hAnsi="Calibri" w:eastAsia="Calibri"/>
          <w:color w:val="1F2937"/>
          <w:sz w:val="22"/>
        </w:rPr>
        <w:t>Manufacturer instructions, clinical evidence, local policy, medical direction, orders, protocols, and individual context remain distinct and current.</w:t>
      </w:r>
    </w:p>
    <w:p>
      <w:pPr>
        <w:spacing w:before="0" w:after="80" w:line="300" w:lineRule="auto"/>
        <w:keepLines/>
        <w:numPr>
          <w:ilvl w:val="0"/>
          <w:numId w:val="10"/>
        </w:numPr>
      </w:pPr>
      <w:r>
        <w:rPr>
          <w:rFonts w:ascii="Calibri" w:hAnsi="Calibri" w:eastAsia="Calibri"/>
          <w:color w:val="1F2937"/>
          <w:sz w:val="22"/>
        </w:rPr>
        <w:t>Urgent, deteriorating, uncertain, conflicting, or out-of-role situations route immediately to the local human clinical and operational chain.</w:t>
      </w:r>
    </w:p>
    <w:p>
      <w:pPr>
        <w:pStyle w:val="Heading1"/>
        <w:keepNext/>
        <w:pageBreakBefore/>
      </w:pPr>
      <w:r>
        <w:t>Care orchestration: prepare the team, never impersonate it</w:t>
      </w:r>
    </w:p>
    <w:p>
      <w:pPr>
        <w:spacing w:before="0" w:after="240" w:line="288" w:lineRule="auto"/>
      </w:pPr>
      <w:r>
        <w:rPr>
          <w:rFonts w:ascii="Calibri" w:hAnsi="Calibri" w:eastAsia="Calibri"/>
          <w:b/>
          <w:color w:val="123047"/>
          <w:sz w:val="26"/>
        </w:rPr>
        <w:t>CIRCLE is a reliability frame for human-owned respiratory coordination. It does not create a care decision, order, clinical authority, patient task, handoff, or responsibility transfer.</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2300"/>
        <w:gridCol w:w="7060"/>
      </w:tblGrid>
      <w:tr>
        <w:trPr>
          <w:cantSplit/>
          <w:tblHeader w:val="true"/>
          <w:cantSplit/>
        </w:trPr>
        <w:tc>
          <w:tcPr>
            <w:tcW w:type="dxa" w:w="23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CIRCLE element</w:t>
            </w:r>
          </w:p>
        </w:tc>
        <w:tc>
          <w:tcPr>
            <w:tcW w:type="dxa" w:w="706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Respiratory professional questions</w:t>
            </w:r>
          </w:p>
        </w:tc>
      </w:tr>
      <w:tr>
        <w:trPr>
          <w:cantSplit/>
        </w:trPr>
        <w:tc>
          <w:tcPr>
            <w:tcW w:type="dxa" w:w="23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Context &amp; goals</w:t>
            </w:r>
          </w:p>
        </w:tc>
        <w:tc>
          <w:tcPr>
            <w:tcW w:type="dxa" w:w="70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What is the approved context, goal, urgency, source, timestamp, and freshness?</w:t>
            </w:r>
          </w:p>
        </w:tc>
      </w:tr>
      <w:tr>
        <w:trPr>
          <w:cantSplit/>
        </w:trPr>
        <w:tc>
          <w:tcPr>
            <w:tcW w:type="dxa" w:w="23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Identified accountability</w:t>
            </w:r>
          </w:p>
        </w:tc>
        <w:tc>
          <w:tcPr>
            <w:tcW w:type="dxa" w:w="70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Who is the accountable clinician? Who owns the decision? What is my bounded role?</w:t>
            </w:r>
          </w:p>
        </w:tc>
      </w:tr>
      <w:tr>
        <w:trPr>
          <w:cantSplit/>
        </w:trPr>
        <w:tc>
          <w:tcPr>
            <w:tcW w:type="dxa" w:w="23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Roles &amp; relationships</w:t>
            </w:r>
          </w:p>
        </w:tc>
        <w:tc>
          <w:tcPr>
            <w:tcW w:type="dxa" w:w="70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Who orders, decides, acts, advises, prepares equipment, receives, follows up, and maintains the official record?</w:t>
            </w:r>
          </w:p>
        </w:tc>
      </w:tr>
      <w:tr>
        <w:trPr>
          <w:cantSplit/>
        </w:trPr>
        <w:tc>
          <w:tcPr>
            <w:tcW w:type="dxa" w:w="23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Closed loops &amp; contingencies</w:t>
            </w:r>
          </w:p>
        </w:tc>
        <w:tc>
          <w:tcPr>
            <w:tcW w:type="dxa" w:w="70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What is pending? What counts as human acknowledgment? What fails? What is the alternate route?</w:t>
            </w:r>
          </w:p>
        </w:tc>
      </w:tr>
      <w:tr>
        <w:trPr>
          <w:cantSplit/>
        </w:trPr>
        <w:tc>
          <w:tcPr>
            <w:tcW w:type="dxa" w:w="23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Limits &amp; escalation</w:t>
            </w:r>
          </w:p>
        </w:tc>
        <w:tc>
          <w:tcPr>
            <w:tcW w:type="dxa" w:w="70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What is unknown, conflicting, high risk, outside verified scope, affected by workload, or device-dependent?</w:t>
            </w:r>
          </w:p>
        </w:tc>
      </w:tr>
      <w:tr>
        <w:trPr>
          <w:cantSplit/>
        </w:trPr>
        <w:tc>
          <w:tcPr>
            <w:tcW w:type="dxa" w:w="23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End state &amp; transition</w:t>
            </w:r>
          </w:p>
        </w:tc>
        <w:tc>
          <w:tcPr>
            <w:tcW w:type="dxa" w:w="70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What human-approved state ends the item? Where is it reconciled? Who receives it? When does it expire?</w:t>
            </w:r>
          </w:p>
        </w:tc>
      </w:tr>
    </w:tbl>
    <w:p>
      <w:pPr>
        <w:spacing w:before="0" w:after="40"/>
      </w:pPr>
    </w:p>
    <w:p>
      <w:pPr>
        <w:pStyle w:val="Heading2"/>
        <w:keepNext/>
      </w:pPr>
      <w:r>
        <w:t>Rounds, consult, handoff, and equipment guardrails</w:t>
      </w:r>
    </w:p>
    <w:p>
      <w:pPr>
        <w:spacing w:before="0" w:after="80" w:line="300" w:lineRule="auto"/>
        <w:keepNext/>
        <w:keepLines/>
        <w:numPr>
          <w:ilvl w:val="0"/>
          <w:numId w:val="10"/>
        </w:numPr>
      </w:pPr>
      <w:r>
        <w:rPr>
          <w:rFonts w:ascii="Calibri" w:hAnsi="Calibri" w:eastAsia="Calibri"/>
          <w:color w:val="1F2937"/>
          <w:sz w:val="22"/>
        </w:rPr>
        <w:t>A handoff is a human-to-human transfer of information and responsibility. An AI draft or electronic transmission is not receipt or acceptance.</w:t>
      </w:r>
    </w:p>
    <w:p>
      <w:pPr>
        <w:spacing w:before="0" w:after="80" w:line="300" w:lineRule="auto"/>
        <w:keepNext/>
        <w:keepLines/>
        <w:numPr>
          <w:ilvl w:val="0"/>
          <w:numId w:val="10"/>
        </w:numPr>
      </w:pPr>
      <w:r>
        <w:rPr>
          <w:rFonts w:ascii="Calibri" w:hAnsi="Calibri" w:eastAsia="Calibri"/>
          <w:color w:val="1F2937"/>
          <w:sz w:val="22"/>
        </w:rPr>
        <w:t>Attribute observations, sources, interpretation, questions, recommendations for human consideration, decision owners, acknowledgments, contingencies, and expiry.</w:t>
      </w:r>
    </w:p>
    <w:p>
      <w:pPr>
        <w:spacing w:before="0" w:after="80" w:line="300" w:lineRule="auto"/>
        <w:keepNext/>
        <w:keepLines/>
        <w:numPr>
          <w:ilvl w:val="0"/>
          <w:numId w:val="10"/>
        </w:numPr>
      </w:pPr>
      <w:r>
        <w:rPr>
          <w:rFonts w:ascii="Calibri" w:hAnsi="Calibri" w:eastAsia="Calibri"/>
          <w:color w:val="1F2937"/>
          <w:sz w:val="22"/>
        </w:rPr>
        <w:t>Consult advice stays attributed; the accountable clinical team retains human decision ownership.</w:t>
      </w:r>
    </w:p>
    <w:p>
      <w:pPr>
        <w:spacing w:before="0" w:after="80" w:line="300" w:lineRule="auto"/>
        <w:keepNext/>
        <w:keepLines/>
        <w:numPr>
          <w:ilvl w:val="0"/>
          <w:numId w:val="10"/>
        </w:numPr>
      </w:pPr>
      <w:r>
        <w:rPr>
          <w:rFonts w:ascii="Calibri" w:hAnsi="Calibri" w:eastAsia="Calibri"/>
          <w:color w:val="1F2937"/>
          <w:sz w:val="22"/>
        </w:rPr>
        <w:t>Generic equipment maps never certify readiness or replace official inventory, infection-prevention, biomedical, manufacturer, or maintenance processes.</w:t>
      </w:r>
    </w:p>
    <w:p>
      <w:pPr>
        <w:spacing w:before="0" w:after="80" w:line="300" w:lineRule="auto"/>
        <w:keepLines/>
        <w:numPr>
          <w:ilvl w:val="0"/>
          <w:numId w:val="10"/>
        </w:numPr>
      </w:pPr>
      <w:r>
        <w:rPr>
          <w:rFonts w:ascii="Calibri" w:hAnsi="Calibri" w:eastAsia="Calibri"/>
          <w:color w:val="1F2937"/>
          <w:sz w:val="22"/>
        </w:rPr>
        <w:t>Private mode never stores a real patient list, handoff, consult, transport, transition, follow-up task, event detail, setting, waveform, alarm, or device file.</w:t>
      </w:r>
    </w:p>
    <w:p>
      <w:pPr>
        <w:pStyle w:val="Heading1"/>
        <w:keepNext/>
        <w:pageBreakBefore/>
      </w:pPr>
      <w:r>
        <w:t>Agent management: give the professional wings with a real kill switch</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900"/>
        <w:gridCol w:w="2900"/>
        <w:gridCol w:w="5560"/>
      </w:tblGrid>
      <w:tr>
        <w:trPr>
          <w:cantSplit/>
          <w:tblHeader w:val="true"/>
          <w:cantSplit/>
        </w:trPr>
        <w:tc>
          <w:tcPr>
            <w:tcW w:type="dxa" w:w="9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Level</w:t>
            </w:r>
          </w:p>
        </w:tc>
        <w:tc>
          <w:tcPr>
            <w:tcW w:type="dxa" w:w="29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Meaning</w:t>
            </w:r>
          </w:p>
        </w:tc>
        <w:tc>
          <w:tcPr>
            <w:tcW w:type="dxa" w:w="556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Examples</w:t>
            </w:r>
          </w:p>
        </w:tc>
      </w:tr>
      <w:tr>
        <w:trPr>
          <w:cantSplit/>
        </w:trPr>
        <w:tc>
          <w:tcPr>
            <w:tcW w:type="dxa" w:w="9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PERM-P0</w:t>
            </w:r>
          </w:p>
        </w:tc>
        <w:tc>
          <w:tcPr>
            <w:tcW w:type="dxa" w:w="29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Disabled</w:t>
            </w:r>
          </w:p>
        </w:tc>
        <w:tc>
          <w:tcPr>
            <w:tcW w:type="dxa" w:w="55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No execution.</w:t>
            </w:r>
          </w:p>
        </w:tc>
      </w:tr>
      <w:tr>
        <w:trPr>
          <w:cantSplit/>
        </w:trPr>
        <w:tc>
          <w:tcPr>
            <w:tcW w:type="dxa" w:w="9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PERM-P1</w:t>
            </w:r>
          </w:p>
        </w:tc>
        <w:tc>
          <w:tcPr>
            <w:tcW w:type="dxa" w:w="29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Private nonsensitive or synthetic draft</w:t>
            </w:r>
          </w:p>
        </w:tc>
        <w:tc>
          <w:tcPr>
            <w:tcW w:type="dxa" w:w="55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No PHI, real case/event data, restricted information, secrets, tools, device access, or action.</w:t>
            </w:r>
          </w:p>
        </w:tc>
      </w:tr>
      <w:tr>
        <w:trPr>
          <w:cantSplit/>
        </w:trPr>
        <w:tc>
          <w:tcPr>
            <w:tcW w:type="dxa" w:w="9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PERM-P2</w:t>
            </w:r>
          </w:p>
        </w:tc>
        <w:tc>
          <w:tcPr>
            <w:tcW w:type="dxa" w:w="29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Private approved read-only</w:t>
            </w:r>
          </w:p>
        </w:tc>
        <w:tc>
          <w:tcPr>
            <w:tcW w:type="dxa" w:w="55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One exact personal source; draft only; no write or share.</w:t>
            </w:r>
          </w:p>
        </w:tc>
      </w:tr>
      <w:tr>
        <w:trPr>
          <w:cantSplit/>
        </w:trPr>
        <w:tc>
          <w:tcPr>
            <w:tcW w:type="dxa" w:w="9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PERM-P3</w:t>
            </w:r>
          </w:p>
        </w:tc>
        <w:tc>
          <w:tcPr>
            <w:tcW w:type="dxa" w:w="29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Institution-approved read or sandbox</w:t>
            </w:r>
          </w:p>
        </w:tc>
        <w:tc>
          <w:tcPr>
            <w:tcW w:type="dxa" w:w="55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One exact approved partition; named owner; no implied clinical authority.</w:t>
            </w:r>
          </w:p>
        </w:tc>
      </w:tr>
      <w:tr>
        <w:trPr>
          <w:cantSplit/>
        </w:trPr>
        <w:tc>
          <w:tcPr>
            <w:tcW w:type="dxa" w:w="9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PERM-P4</w:t>
            </w:r>
          </w:p>
        </w:tc>
        <w:tc>
          <w:tcPr>
            <w:tcW w:type="dxa" w:w="29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One-run staged nonclinical write</w:t>
            </w:r>
          </w:p>
        </w:tc>
        <w:tc>
          <w:tcPr>
            <w:tcW w:type="dxa" w:w="55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Administrative, education, or QI-project destination only; never EHR, order, event, patient message, paging, or device system.</w:t>
            </w:r>
          </w:p>
        </w:tc>
      </w:tr>
      <w:tr>
        <w:trPr>
          <w:cantSplit/>
        </w:trPr>
        <w:tc>
          <w:tcPr>
            <w:tcW w:type="dxa" w:w="9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PERM-P5</w:t>
            </w:r>
          </w:p>
        </w:tc>
        <w:tc>
          <w:tcPr>
            <w:tcW w:type="dxa" w:w="29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Prohibited</w:t>
            </w:r>
          </w:p>
        </w:tc>
        <w:tc>
          <w:tcPr>
            <w:tcW w:type="dxa" w:w="55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Autonomous clinical/device action, surveillance, evaluation, credential decisions, self-expansion, or escalation.</w:t>
            </w:r>
          </w:p>
        </w:tc>
      </w:tr>
    </w:tbl>
    <w:p>
      <w:pPr>
        <w:spacing w:before="0" w:after="40"/>
      </w:pPr>
    </w:p>
    <w:p>
      <w:pPr>
        <w:pStyle w:val="Heading2"/>
        <w:keepNext/>
      </w:pPr>
      <w:r>
        <w:t>Safe first agent</w:t>
      </w:r>
    </w:p>
    <w:p>
      <w:pPr>
        <w:spacing w:before="120" w:after="200" w:line="276" w:lineRule="auto"/>
        <w:shd w:fill="F1EDFA"/>
        <w:pBdr>
          <w:left w:val="single" w:sz="18" w:space="8" w:color="7359A6"/>
        </w:pBdr>
        <w:ind w:left="180" w:right="120"/>
      </w:pPr>
      <w:r>
        <w:rPr>
          <w:rFonts w:ascii="Calibri" w:hAnsi="Calibri" w:eastAsia="Calibri"/>
          <w:b/>
          <w:color w:val="123047"/>
          <w:sz w:val="22"/>
        </w:rPr>
        <w:t xml:space="preserve">Preview—do not run: </w:t>
      </w:r>
      <w:r>
        <w:rPr>
          <w:rFonts w:ascii="Calibri" w:hAnsi="Calibri" w:eastAsia="Calibri"/>
          <w:color w:val="1F2937"/>
          <w:sz w:val="22"/>
        </w:rPr>
        <w:t>Open the ORBIT Agent Control Tower and preview one PERM-P1 synthetic Source &amp; Claim Verifier while keeping its install state PERM-P0 Disabled. Show its objective and owner, non-goals, proposed PERM-P1 permission, allowed and prohibited data, no-device and no-tool boundary, source policy, time and cost limit, success, failure and stop conditions, exact output, normal and failure tests, prompt-injection test, human review, kill switch, expiry, purge, rollback, and retirement. Do not activate, persist, connect, share, or run it. Wait for my exact one-run approval.</w:t>
      </w:r>
    </w:p>
    <w:p>
      <w:pPr>
        <w:keepNext/>
        <w:spacing w:before="0" w:after="80" w:line="300" w:lineRule="auto"/>
        <w:keepLines/>
        <w:numPr>
          <w:ilvl w:val="0"/>
          <w:numId w:val="13"/>
        </w:numPr>
      </w:pPr>
      <w:r>
        <w:rPr>
          <w:rFonts w:ascii="Calibri" w:hAnsi="Calibri" w:eastAsia="Calibri"/>
          <w:color w:val="1F2937"/>
          <w:sz w:val="22"/>
        </w:rPr>
        <w:t>Choose one narrow objective and explicit non-goals.</w:t>
      </w:r>
    </w:p>
    <w:p>
      <w:pPr>
        <w:keepNext/>
        <w:spacing w:before="0" w:after="80" w:line="300" w:lineRule="auto"/>
        <w:keepLines/>
        <w:numPr>
          <w:ilvl w:val="0"/>
          <w:numId w:val="13"/>
        </w:numPr>
      </w:pPr>
      <w:r>
        <w:rPr>
          <w:rFonts w:ascii="Calibri" w:hAnsi="Calibri" w:eastAsia="Calibri"/>
          <w:color w:val="1F2937"/>
          <w:sz w:val="22"/>
        </w:rPr>
        <w:t>Name the professional owner, beneficiary, and exact human decision or release owner.</w:t>
      </w:r>
    </w:p>
    <w:p>
      <w:pPr>
        <w:keepNext/>
        <w:spacing w:before="0" w:after="80" w:line="300" w:lineRule="auto"/>
        <w:keepLines/>
        <w:numPr>
          <w:ilvl w:val="0"/>
          <w:numId w:val="13"/>
        </w:numPr>
      </w:pPr>
      <w:r>
        <w:rPr>
          <w:rFonts w:ascii="Calibri" w:hAnsi="Calibri" w:eastAsia="Calibri"/>
          <w:color w:val="1F2937"/>
          <w:sz w:val="22"/>
        </w:rPr>
        <w:t>Limit data, tools, destinations, time, cost, concurrency, depth, retention, and expiry; prohibit device access and recursion.</w:t>
      </w:r>
    </w:p>
    <w:p>
      <w:pPr>
        <w:keepNext/>
        <w:spacing w:before="0" w:after="80" w:line="300" w:lineRule="auto"/>
        <w:keepLines/>
        <w:numPr>
          <w:ilvl w:val="0"/>
          <w:numId w:val="13"/>
        </w:numPr>
      </w:pPr>
      <w:r>
        <w:rPr>
          <w:rFonts w:ascii="Calibri" w:hAnsi="Calibri" w:eastAsia="Calibri"/>
          <w:color w:val="1F2937"/>
          <w:sz w:val="22"/>
        </w:rPr>
        <w:t>Preview exact behavior; test normal, missing-source, prompt-injection, permission, and failure cases.</w:t>
      </w:r>
    </w:p>
    <w:p>
      <w:pPr>
        <w:keepNext/>
        <w:spacing w:before="0" w:after="80" w:line="300" w:lineRule="auto"/>
        <w:keepLines/>
        <w:numPr>
          <w:ilvl w:val="0"/>
          <w:numId w:val="13"/>
        </w:numPr>
      </w:pPr>
      <w:r>
        <w:rPr>
          <w:rFonts w:ascii="Calibri" w:hAnsi="Calibri" w:eastAsia="Calibri"/>
          <w:color w:val="1F2937"/>
          <w:sz w:val="22"/>
        </w:rPr>
        <w:t>Approve one bounded run—not an open-ended role—and independently review the output.</w:t>
      </w:r>
    </w:p>
    <w:p>
      <w:pPr>
        <w:spacing w:before="0" w:after="80" w:line="300" w:lineRule="auto"/>
        <w:keepLines/>
        <w:numPr>
          <w:ilvl w:val="0"/>
          <w:numId w:val="13"/>
        </w:numPr>
      </w:pPr>
      <w:r>
        <w:rPr>
          <w:rFonts w:ascii="Calibri" w:hAnsi="Calibri" w:eastAsia="Calibri"/>
          <w:color w:val="1F2937"/>
          <w:sz w:val="22"/>
        </w:rPr>
        <w:t>Accept or reject, record a nonsensitive receipt, then purge, expire, pause, roll back, or retire.</w:t>
      </w:r>
    </w:p>
    <w:p>
      <w:pPr>
        <w:spacing w:before="120" w:after="200" w:line="276" w:lineRule="auto"/>
        <w:shd w:fill="FCE8E6"/>
        <w:pBdr>
          <w:left w:val="single" w:sz="18" w:space="8" w:color="9B1C1C"/>
        </w:pBdr>
        <w:ind w:left="180" w:right="120"/>
      </w:pPr>
      <w:r>
        <w:rPr>
          <w:rFonts w:ascii="Calibri" w:hAnsi="Calibri" w:eastAsia="Calibri"/>
          <w:b/>
          <w:color w:val="123047"/>
          <w:sz w:val="22"/>
        </w:rPr>
        <w:t xml:space="preserve">Agent truth: </w:t>
      </w:r>
      <w:r>
        <w:rPr>
          <w:rFonts w:ascii="Calibri" w:hAnsi="Calibri" w:eastAsia="Calibri"/>
          <w:color w:val="1F2937"/>
          <w:sz w:val="22"/>
        </w:rPr>
        <w:t>A software agent has no license, credential, competency, medical direction, place in the clinical chain, or authority to approve itself. Agent consensus is not evidence; a verifier agent is not human approval. No agent can connect to or control a ventilator, oxygen system, alarm, monitor, airway device, medication system, or other clinical technology.</w:t>
      </w:r>
    </w:p>
    <w:p>
      <w:pPr>
        <w:pStyle w:val="Heading1"/>
        <w:keepNext/>
        <w:pageBreakBefore/>
      </w:pPr>
      <w:r>
        <w:t>Seven-, thirty-, and ninety-day adoption</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1200"/>
        <w:gridCol w:w="8160"/>
      </w:tblGrid>
      <w:tr>
        <w:trPr>
          <w:cantSplit/>
          <w:tblHeader w:val="true"/>
          <w:cantSplit/>
        </w:trPr>
        <w:tc>
          <w:tcPr>
            <w:tcW w:type="dxa" w:w="12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Time</w:t>
            </w:r>
          </w:p>
        </w:tc>
        <w:tc>
          <w:tcPr>
            <w:tcW w:type="dxa" w:w="816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Professional-controlled goal</w:t>
            </w:r>
          </w:p>
        </w:tc>
      </w:tr>
      <w:tr>
        <w:trPr>
          <w:cantSplit/>
        </w:trPr>
        <w:tc>
          <w:tcPr>
            <w:tcW w:type="dxa" w:w="12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Day 1</w:t>
            </w:r>
          </w:p>
        </w:tc>
        <w:tc>
          <w:tcPr>
            <w:tcW w:type="dxa" w:w="81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Isolation, Private no-PHI/no-device boundary, exact title and credential, site and service, SCOPE and human routes.</w:t>
            </w:r>
          </w:p>
        </w:tc>
      </w:tr>
      <w:tr>
        <w:trPr>
          <w:cantSplit/>
        </w:trPr>
        <w:tc>
          <w:tcPr>
            <w:tcW w:type="dxa" w:w="12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Day 2</w:t>
            </w:r>
          </w:p>
        </w:tc>
        <w:tc>
          <w:tcPr>
            <w:tcW w:type="dxa" w:w="81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Shift and workload reality, capacity, recovery, breaks, health-care time, safe transport, and protected life.</w:t>
            </w:r>
          </w:p>
        </w:tc>
      </w:tr>
      <w:tr>
        <w:trPr>
          <w:cantSplit/>
        </w:trPr>
        <w:tc>
          <w:tcPr>
            <w:tcW w:type="dxa" w:w="12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Day 3</w:t>
            </w:r>
          </w:p>
        </w:tc>
        <w:tc>
          <w:tcPr>
            <w:tcW w:type="dxa" w:w="81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One generic evidence brief and one clearly synthetic ABG, assessment, or ventilator-learning run.</w:t>
            </w:r>
          </w:p>
        </w:tc>
      </w:tr>
      <w:tr>
        <w:trPr>
          <w:cantSplit/>
        </w:trPr>
        <w:tc>
          <w:tcPr>
            <w:tcW w:type="dxa" w:w="12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Day 4</w:t>
            </w:r>
          </w:p>
        </w:tc>
        <w:tc>
          <w:tcPr>
            <w:tcW w:type="dxa" w:w="81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One generic equipment-source map and one synthetic CIRCLE rounds, consult, transport, or transition rehearsal.</w:t>
            </w:r>
          </w:p>
        </w:tc>
      </w:tr>
      <w:tr>
        <w:trPr>
          <w:cantSplit/>
        </w:trPr>
        <w:tc>
          <w:tcPr>
            <w:tcW w:type="dxa" w:w="12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Day 5</w:t>
            </w:r>
          </w:p>
        </w:tc>
        <w:tc>
          <w:tcPr>
            <w:tcW w:type="dxa" w:w="81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One teaching, preceptor, quality, infection-prevention, credential, career, research, or leadership artifact.</w:t>
            </w:r>
          </w:p>
        </w:tc>
      </w:tr>
      <w:tr>
        <w:trPr>
          <w:cantSplit/>
        </w:trPr>
        <w:tc>
          <w:tcPr>
            <w:tcW w:type="dxa" w:w="12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Day 6</w:t>
            </w:r>
          </w:p>
        </w:tc>
        <w:tc>
          <w:tcPr>
            <w:tcW w:type="dxa" w:w="81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Preview one PERM-P1 synthetic agent but keep it PERM-P0 Disabled; inspect permission, device boundary, failure, kill, receipt, and purge.</w:t>
            </w:r>
          </w:p>
        </w:tc>
      </w:tr>
      <w:tr>
        <w:trPr>
          <w:cantSplit/>
        </w:trPr>
        <w:tc>
          <w:tcPr>
            <w:tcW w:type="dxa" w:w="12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Day 7</w:t>
            </w:r>
          </w:p>
        </w:tc>
        <w:tc>
          <w:tcPr>
            <w:tcW w:type="dxa" w:w="81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Retain, Revise, Pause, or Remove. Preview at most one power; activating none is acceptable.</w:t>
            </w:r>
          </w:p>
        </w:tc>
      </w:tr>
      <w:tr>
        <w:trPr>
          <w:cantSplit/>
        </w:trPr>
        <w:tc>
          <w:tcPr>
            <w:tcW w:type="dxa" w:w="12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Day 30</w:t>
            </w:r>
          </w:p>
        </w:tc>
        <w:tc>
          <w:tcPr>
            <w:tcW w:type="dxa" w:w="81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At most three low-risk powers, one at a time; whole-life use only in a personally controlled isolated store.</w:t>
            </w:r>
          </w:p>
        </w:tc>
      </w:tr>
      <w:tr>
        <w:trPr>
          <w:cantSplit/>
        </w:trPr>
        <w:tc>
          <w:tcPr>
            <w:tcW w:type="dxa" w:w="12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Day 90</w:t>
            </w:r>
          </w:p>
        </w:tc>
        <w:tc>
          <w:tcPr>
            <w:tcW w:type="dxa" w:w="81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Choose one bounded track—technical learning, care orchestration, quality, education, career, or ethical agents—not all.</w:t>
            </w:r>
          </w:p>
        </w:tc>
      </w:tr>
    </w:tbl>
    <w:p>
      <w:pPr>
        <w:spacing w:before="0" w:after="40"/>
      </w:pPr>
    </w:p>
    <w:p>
      <w:pPr>
        <w:pStyle w:val="Heading2"/>
        <w:keepNext/>
      </w:pPr>
      <w:r>
        <w:t>Role and situation reminders</w:t>
      </w:r>
    </w:p>
    <w:p>
      <w:pPr>
        <w:spacing w:before="0" w:after="80" w:line="300" w:lineRule="auto"/>
        <w:keepNext/>
        <w:keepLines/>
        <w:numPr>
          <w:ilvl w:val="0"/>
          <w:numId w:val="10"/>
        </w:numPr>
      </w:pPr>
      <w:r>
        <w:rPr>
          <w:rFonts w:ascii="Calibri" w:hAnsi="Calibri" w:eastAsia="Calibri"/>
          <w:color w:val="1F2937"/>
          <w:sz w:val="22"/>
        </w:rPr>
        <w:t>Available Inactive is catalog visibility—not permission. Unknown, stale, expired, or conflicting status blocks consequential preview and activation.</w:t>
      </w:r>
    </w:p>
    <w:p>
      <w:pPr>
        <w:spacing w:before="0" w:after="80" w:line="300" w:lineRule="auto"/>
        <w:keepNext/>
        <w:keepLines/>
        <w:numPr>
          <w:ilvl w:val="0"/>
          <w:numId w:val="10"/>
        </w:numPr>
      </w:pPr>
      <w:r>
        <w:rPr>
          <w:rFonts w:ascii="Calibri" w:hAnsi="Calibri" w:eastAsia="Calibri"/>
          <w:color w:val="1F2937"/>
          <w:sz w:val="22"/>
        </w:rPr>
        <w:t>Student or orientee: Powers 6–19 remain education-only and require an approved synthetic/simulation context plus named supervisor; patient-specific use and writes are unavailable.</w:t>
      </w:r>
    </w:p>
    <w:p>
      <w:pPr>
        <w:spacing w:before="0" w:after="80" w:line="300" w:lineRule="auto"/>
        <w:keepNext/>
        <w:keepLines/>
        <w:numPr>
          <w:ilvl w:val="0"/>
          <w:numId w:val="10"/>
        </w:numPr>
      </w:pPr>
      <w:r>
        <w:rPr>
          <w:rFonts w:ascii="Calibri" w:hAnsi="Calibri" w:eastAsia="Calibri"/>
          <w:color w:val="1F2937"/>
          <w:sz w:val="22"/>
        </w:rPr>
        <w:t>Assistant, technician, or equipment technician: Powers 6–19 remain unavailable unless an exact generic learning/equipment-preparation function is verified in job description, training, supervision, and policy; never infer independent care scope.</w:t>
      </w:r>
    </w:p>
    <w:p>
      <w:pPr>
        <w:spacing w:before="0" w:after="80" w:line="300" w:lineRule="auto"/>
        <w:keepNext/>
        <w:keepLines/>
        <w:numPr>
          <w:ilvl w:val="0"/>
          <w:numId w:val="10"/>
        </w:numPr>
      </w:pPr>
      <w:r>
        <w:rPr>
          <w:rFonts w:ascii="Calibri" w:hAnsi="Calibri" w:eastAsia="Calibri"/>
          <w:color w:val="1F2937"/>
          <w:sz w:val="22"/>
        </w:rPr>
        <w:t>Licensed RT/RCP: bind each task to exact jurisdiction, license/permit, site, service, competency, order or protocol, and current date; an NBRC credential alone does not grant local authority.</w:t>
      </w:r>
    </w:p>
    <w:p>
      <w:pPr>
        <w:spacing w:before="0" w:after="80" w:line="300" w:lineRule="auto"/>
        <w:keepNext/>
        <w:keepLines/>
        <w:numPr>
          <w:ilvl w:val="0"/>
          <w:numId w:val="10"/>
        </w:numPr>
      </w:pPr>
      <w:r>
        <w:rPr>
          <w:rFonts w:ascii="Calibri" w:hAnsi="Calibri" w:eastAsia="Calibri"/>
          <w:color w:val="1F2937"/>
          <w:sz w:val="22"/>
        </w:rPr>
        <w:t>Lead, charge, manager, educator, or preceptor: separate clinical, operational, education, evaluation, personnel, quality, research, and AI-governance hats.</w:t>
      </w:r>
    </w:p>
    <w:p>
      <w:pPr>
        <w:spacing w:before="0" w:after="80" w:line="300" w:lineRule="auto"/>
        <w:keepNext/>
        <w:keepLines/>
        <w:numPr>
          <w:ilvl w:val="0"/>
          <w:numId w:val="10"/>
        </w:numPr>
      </w:pPr>
      <w:r>
        <w:rPr>
          <w:rFonts w:ascii="Calibri" w:hAnsi="Calibri" w:eastAsia="Calibri"/>
          <w:color w:val="1F2937"/>
          <w:sz w:val="22"/>
        </w:rPr>
        <w:t>New site, transport team, home care, outpatient, sleep, PFT, diagnostics, rehab, acute care, critical care, neonatal or pediatric context: invalidate stale receipts and verify local sources and human routes.</w:t>
      </w:r>
    </w:p>
    <w:p>
      <w:pPr>
        <w:spacing w:before="0" w:after="80" w:line="300" w:lineRule="auto"/>
        <w:keepLines/>
        <w:numPr>
          <w:ilvl w:val="0"/>
          <w:numId w:val="10"/>
        </w:numPr>
      </w:pPr>
      <w:r>
        <w:rPr>
          <w:rFonts w:ascii="Calibri" w:hAnsi="Calibri" w:eastAsia="Calibri"/>
          <w:color w:val="1F2937"/>
          <w:sz w:val="22"/>
        </w:rPr>
        <w:t>Quality, research, or innovation work: require sponsor, human project classification, approved data, privacy, security, change control, and publication routes.</w:t>
      </w:r>
    </w:p>
    <w:p>
      <w:pPr>
        <w:pStyle w:val="Heading1"/>
        <w:keepNext/>
        <w:pageBreakBefore/>
      </w:pPr>
      <w:r>
        <w:t>Thirty respiratory-care cards and templates</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500"/>
        <w:gridCol w:w="4180"/>
        <w:gridCol w:w="500"/>
        <w:gridCol w:w="4180"/>
      </w:tblGrid>
      <w:tr>
        <w:trPr>
          <w:cantSplit/>
          <w:tblHeader w:val="true"/>
          <w:cantSplit/>
        </w:trPr>
        <w:tc>
          <w:tcPr>
            <w:tcW w:type="dxa" w:w="5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6"/>
              </w:rPr>
              <w:t>#</w:t>
            </w:r>
          </w:p>
        </w:tc>
        <w:tc>
          <w:tcPr>
            <w:tcW w:type="dxa" w:w="418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6"/>
              </w:rPr>
              <w:t>Template</w:t>
            </w:r>
          </w:p>
        </w:tc>
        <w:tc>
          <w:tcPr>
            <w:tcW w:type="dxa" w:w="5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6"/>
              </w:rPr>
              <w:t>#</w:t>
            </w:r>
          </w:p>
        </w:tc>
        <w:tc>
          <w:tcPr>
            <w:tcW w:type="dxa" w:w="418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6"/>
              </w:rPr>
              <w:t>Template</w:t>
            </w:r>
          </w:p>
        </w:tc>
      </w:tr>
      <w:tr>
        <w:trPr>
          <w:cantSplit/>
        </w:trPr>
        <w:tc>
          <w:tcPr>
            <w:tcW w:type="dxa" w:w="5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1</w:t>
            </w:r>
          </w:p>
        </w:tc>
        <w:tc>
          <w:tcPr>
            <w:tcW w:type="dxa" w:w="418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BREATHE True North &amp; Protected-Life Promise</w:t>
            </w:r>
          </w:p>
        </w:tc>
        <w:tc>
          <w:tcPr>
            <w:tcW w:type="dxa" w:w="5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16</w:t>
            </w:r>
          </w:p>
        </w:tc>
        <w:tc>
          <w:tcPr>
            <w:tcW w:type="dxa" w:w="418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CIRCLE Respiratory Care-Orchestration Map</w:t>
            </w:r>
          </w:p>
        </w:tc>
      </w:tr>
      <w:tr>
        <w:trPr>
          <w:cantSplit/>
        </w:trPr>
        <w:tc>
          <w:tcPr>
            <w:tcW w:type="dxa" w:w="5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2</w:t>
            </w:r>
          </w:p>
        </w:tc>
        <w:tc>
          <w:tcPr>
            <w:tcW w:type="dxa" w:w="418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Professional Identity, Role, Site &amp; Active-Hat Card</w:t>
            </w:r>
          </w:p>
        </w:tc>
        <w:tc>
          <w:tcPr>
            <w:tcW w:type="dxa" w:w="5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17</w:t>
            </w:r>
          </w:p>
        </w:tc>
        <w:tc>
          <w:tcPr>
            <w:tcW w:type="dxa" w:w="418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Rounds, Consult, Recommendation &amp; Check-Back Brief</w:t>
            </w:r>
          </w:p>
        </w:tc>
      </w:tr>
      <w:tr>
        <w:trPr>
          <w:cantSplit/>
        </w:trPr>
        <w:tc>
          <w:tcPr>
            <w:tcW w:type="dxa" w:w="5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3</w:t>
            </w:r>
          </w:p>
        </w:tc>
        <w:tc>
          <w:tcPr>
            <w:tcW w:type="dxa" w:w="418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Credential, License, Competency &amp; Expiry Radar</w:t>
            </w:r>
          </w:p>
        </w:tc>
        <w:tc>
          <w:tcPr>
            <w:tcW w:type="dxa" w:w="5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18</w:t>
            </w:r>
          </w:p>
        </w:tc>
        <w:tc>
          <w:tcPr>
            <w:tcW w:type="dxa" w:w="418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Synthetic Airway, Code &amp; Rapid-Response Rehearsal</w:t>
            </w:r>
          </w:p>
        </w:tc>
      </w:tr>
      <w:tr>
        <w:trPr>
          <w:cantSplit/>
        </w:trPr>
        <w:tc>
          <w:tcPr>
            <w:tcW w:type="dxa" w:w="5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4</w:t>
            </w:r>
          </w:p>
        </w:tc>
        <w:tc>
          <w:tcPr>
            <w:tcW w:type="dxa" w:w="418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SCOPE Authority and Action Gate Receipt</w:t>
            </w:r>
          </w:p>
        </w:tc>
        <w:tc>
          <w:tcPr>
            <w:tcW w:type="dxa" w:w="5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19</w:t>
            </w:r>
          </w:p>
        </w:tc>
        <w:tc>
          <w:tcPr>
            <w:tcW w:type="dxa" w:w="418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Synthetic Liberation, NIV, Tracheostomy &amp; Transition Map</w:t>
            </w:r>
          </w:p>
        </w:tc>
      </w:tr>
      <w:tr>
        <w:trPr>
          <w:cantSplit/>
        </w:trPr>
        <w:tc>
          <w:tcPr>
            <w:tcW w:type="dxa" w:w="5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5</w:t>
            </w:r>
          </w:p>
        </w:tc>
        <w:tc>
          <w:tcPr>
            <w:tcW w:type="dxa" w:w="418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Shift Capacity, Top Three &amp; Plan B Card</w:t>
            </w:r>
          </w:p>
        </w:tc>
        <w:tc>
          <w:tcPr>
            <w:tcW w:type="dxa" w:w="5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20</w:t>
            </w:r>
          </w:p>
        </w:tc>
        <w:tc>
          <w:tcPr>
            <w:tcW w:type="dxa" w:w="418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Patient, Family, Caregiver Education &amp; Teach-Back Plan</w:t>
            </w:r>
          </w:p>
        </w:tc>
      </w:tr>
      <w:tr>
        <w:trPr>
          <w:cantSplit/>
        </w:trPr>
        <w:tc>
          <w:tcPr>
            <w:tcW w:type="dxa" w:w="5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6</w:t>
            </w:r>
          </w:p>
        </w:tc>
        <w:tc>
          <w:tcPr>
            <w:tcW w:type="dxa" w:w="418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Workload Reality, Staffing Evidence &amp; Escalation Brief</w:t>
            </w:r>
          </w:p>
        </w:tc>
        <w:tc>
          <w:tcPr>
            <w:tcW w:type="dxa" w:w="5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21</w:t>
            </w:r>
          </w:p>
        </w:tc>
        <w:tc>
          <w:tcPr>
            <w:tcW w:type="dxa" w:w="418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Preceptor, Simulation, Deliberate-Practice &amp; Feedback Plan</w:t>
            </w:r>
          </w:p>
        </w:tc>
      </w:tr>
      <w:tr>
        <w:trPr>
          <w:cantSplit/>
        </w:trPr>
        <w:tc>
          <w:tcPr>
            <w:tcW w:type="dxa" w:w="5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7</w:t>
            </w:r>
          </w:p>
        </w:tc>
        <w:tc>
          <w:tcPr>
            <w:tcW w:type="dxa" w:w="418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Recovery, Health-Care Time &amp; Safe-Transport Plan</w:t>
            </w:r>
          </w:p>
        </w:tc>
        <w:tc>
          <w:tcPr>
            <w:tcW w:type="dxa" w:w="5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22</w:t>
            </w:r>
          </w:p>
        </w:tc>
        <w:tc>
          <w:tcPr>
            <w:tcW w:type="dxa" w:w="418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Quality, Safety, Infection Prevention &amp; PDSA Charter</w:t>
            </w:r>
          </w:p>
        </w:tc>
      </w:tr>
      <w:tr>
        <w:trPr>
          <w:cantSplit/>
        </w:trPr>
        <w:tc>
          <w:tcPr>
            <w:tcW w:type="dxa" w:w="5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8</w:t>
            </w:r>
          </w:p>
        </w:tc>
        <w:tc>
          <w:tcPr>
            <w:tcW w:type="dxa" w:w="418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Evidence, Guideline, Policy &amp; Manufacturer Source Brief</w:t>
            </w:r>
          </w:p>
        </w:tc>
        <w:tc>
          <w:tcPr>
            <w:tcW w:type="dxa" w:w="5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23</w:t>
            </w:r>
          </w:p>
        </w:tc>
        <w:tc>
          <w:tcPr>
            <w:tcW w:type="dxa" w:w="418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Safety Event or M&amp;M Reflection &amp; Official-System Boundary</w:t>
            </w:r>
          </w:p>
        </w:tc>
      </w:tr>
      <w:tr>
        <w:trPr>
          <w:cantSplit/>
        </w:trPr>
        <w:tc>
          <w:tcPr>
            <w:tcW w:type="dxa" w:w="5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9</w:t>
            </w:r>
          </w:p>
        </w:tc>
        <w:tc>
          <w:tcPr>
            <w:tcW w:type="dxa" w:w="418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Synthetic ABG, Acid–Base &amp; Gas-Exchange Learning Sheet</w:t>
            </w:r>
          </w:p>
        </w:tc>
        <w:tc>
          <w:tcPr>
            <w:tcW w:type="dxa" w:w="5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24</w:t>
            </w:r>
          </w:p>
        </w:tc>
        <w:tc>
          <w:tcPr>
            <w:tcW w:type="dxa" w:w="418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Feedback, Conflict, Psychological Safety &amp; Advocacy Brief</w:t>
            </w:r>
          </w:p>
        </w:tc>
      </w:tr>
      <w:tr>
        <w:trPr>
          <w:cantSplit/>
        </w:trPr>
        <w:tc>
          <w:tcPr>
            <w:tcW w:type="dxa" w:w="5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10</w:t>
            </w:r>
          </w:p>
        </w:tc>
        <w:tc>
          <w:tcPr>
            <w:tcW w:type="dxa" w:w="418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Synthetic Respiratory Assessment, Trend &amp; Bias Reflection</w:t>
            </w:r>
          </w:p>
        </w:tc>
        <w:tc>
          <w:tcPr>
            <w:tcW w:type="dxa" w:w="5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25</w:t>
            </w:r>
          </w:p>
        </w:tc>
        <w:tc>
          <w:tcPr>
            <w:tcW w:type="dxa" w:w="418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NBRC, License, CE, Specialty &amp; Renewal Radar</w:t>
            </w:r>
          </w:p>
        </w:tc>
      </w:tr>
      <w:tr>
        <w:trPr>
          <w:cantSplit/>
        </w:trPr>
        <w:tc>
          <w:tcPr>
            <w:tcW w:type="dxa" w:w="5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11</w:t>
            </w:r>
          </w:p>
        </w:tc>
        <w:tc>
          <w:tcPr>
            <w:tcW w:type="dxa" w:w="418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Order, Protocol, Scope &amp; Human-Owner Comparison Card</w:t>
            </w:r>
          </w:p>
        </w:tc>
        <w:tc>
          <w:tcPr>
            <w:tcW w:type="dxa" w:w="5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26</w:t>
            </w:r>
          </w:p>
        </w:tc>
        <w:tc>
          <w:tcPr>
            <w:tcW w:type="dxa" w:w="418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Career, Education, Research, Leadership &amp; Portfolio Map</w:t>
            </w:r>
          </w:p>
        </w:tc>
      </w:tr>
      <w:tr>
        <w:trPr>
          <w:cantSplit/>
        </w:trPr>
        <w:tc>
          <w:tcPr>
            <w:tcW w:type="dxa" w:w="5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12</w:t>
            </w:r>
          </w:p>
        </w:tc>
        <w:tc>
          <w:tcPr>
            <w:tcW w:type="dxa" w:w="418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Synthetic Ventilator Mode, Waveform &amp; Alarm Worksheet</w:t>
            </w:r>
          </w:p>
        </w:tc>
        <w:tc>
          <w:tcPr>
            <w:tcW w:type="dxa" w:w="5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27</w:t>
            </w:r>
          </w:p>
        </w:tc>
        <w:tc>
          <w:tcPr>
            <w:tcW w:type="dxa" w:w="418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Whole-Life Capacity, Family, Finance &amp; Minimum-Mode Plan</w:t>
            </w:r>
          </w:p>
        </w:tc>
      </w:tr>
      <w:tr>
        <w:trPr>
          <w:cantSplit/>
        </w:trPr>
        <w:tc>
          <w:tcPr>
            <w:tcW w:type="dxa" w:w="5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13</w:t>
            </w:r>
          </w:p>
        </w:tc>
        <w:tc>
          <w:tcPr>
            <w:tcW w:type="dxa" w:w="418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Oxygen, Aerosol, Humidification &amp; Delivery-Device Comparison</w:t>
            </w:r>
          </w:p>
        </w:tc>
        <w:tc>
          <w:tcPr>
            <w:tcW w:type="dxa" w:w="5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28</w:t>
            </w:r>
          </w:p>
        </w:tc>
        <w:tc>
          <w:tcPr>
            <w:tcW w:type="dxa" w:w="418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ORBIT Agent Charter, Permission &amp; Device-Boundary Envelope</w:t>
            </w:r>
          </w:p>
        </w:tc>
      </w:tr>
      <w:tr>
        <w:trPr>
          <w:cantSplit/>
        </w:trPr>
        <w:tc>
          <w:tcPr>
            <w:tcW w:type="dxa" w:w="5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14</w:t>
            </w:r>
          </w:p>
        </w:tc>
        <w:tc>
          <w:tcPr>
            <w:tcW w:type="dxa" w:w="418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Generic Equipment, Circuit, Interface, Supply &amp; Backup Map</w:t>
            </w:r>
          </w:p>
        </w:tc>
        <w:tc>
          <w:tcPr>
            <w:tcW w:type="dxa" w:w="5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29</w:t>
            </w:r>
          </w:p>
        </w:tc>
        <w:tc>
          <w:tcPr>
            <w:tcW w:type="dxa" w:w="418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Agent Preview, Test, Run, Review, Incident &amp; Retirement Receipt</w:t>
            </w:r>
          </w:p>
        </w:tc>
      </w:tr>
      <w:tr>
        <w:trPr>
          <w:cantSplit/>
        </w:trPr>
        <w:tc>
          <w:tcPr>
            <w:tcW w:type="dxa" w:w="5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15</w:t>
            </w:r>
          </w:p>
        </w:tc>
        <w:tc>
          <w:tcPr>
            <w:tcW w:type="dxa" w:w="418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Synthetic Transport, Procedure &amp; Equipment-Failure Rehearsal</w:t>
            </w:r>
          </w:p>
        </w:tc>
        <w:tc>
          <w:tcPr>
            <w:tcW w:type="dxa" w:w="5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30</w:t>
            </w:r>
          </w:p>
        </w:tc>
        <w:tc>
          <w:tcPr>
            <w:tcW w:type="dxa" w:w="418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6"/>
              </w:rPr>
              <w:t>Seven-Day Launch &amp; Ninety-Day BREATHE Development Plan</w:t>
            </w:r>
          </w:p>
        </w:tc>
      </w:tr>
    </w:tbl>
    <w:p>
      <w:pPr>
        <w:spacing w:before="0" w:after="40"/>
      </w:pPr>
    </w:p>
    <w:p>
      <w:pPr>
        <w:spacing w:before="120" w:after="200" w:line="276" w:lineRule="auto"/>
        <w:shd w:fill="EEF0FA"/>
        <w:pBdr>
          <w:left w:val="single" w:sz="18" w:space="8" w:color="4653A3"/>
        </w:pBdr>
        <w:ind w:left="180" w:right="120"/>
      </w:pPr>
      <w:r>
        <w:rPr>
          <w:rFonts w:ascii="Calibri" w:hAnsi="Calibri" w:eastAsia="Calibri"/>
          <w:b/>
          <w:color w:val="123047"/>
          <w:sz w:val="22"/>
        </w:rPr>
        <w:t xml:space="preserve">Template rule: </w:t>
      </w:r>
      <w:r>
        <w:rPr>
          <w:rFonts w:ascii="Calibri" w:hAnsi="Calibri" w:eastAsia="Calibri"/>
          <w:color w:val="1F2937"/>
          <w:sz w:val="22"/>
        </w:rPr>
        <w:t>These are 30 functional forms with purpose-specific fields—not approvals. Every template shows a stable TPL ID, owner, separate title/credential/license/role fields, context, data class, source/version, fact versus interpretation, human owner, action state, device boundary, expiry, correction, export, and deletion. Unknown is safer than invented.</w:t>
      </w:r>
    </w:p>
    <w:p>
      <w:pPr>
        <w:pStyle w:val="Heading1"/>
        <w:keepNext/>
        <w:pageBreakBefore/>
      </w:pPr>
      <w:r>
        <w:t>Non-negotiable boundaries</w:t>
      </w:r>
    </w:p>
    <w:p>
      <w:pPr>
        <w:spacing w:before="0" w:after="80" w:line="300" w:lineRule="auto"/>
        <w:keepNext/>
        <w:keepLines/>
        <w:numPr>
          <w:ilvl w:val="0"/>
          <w:numId w:val="10"/>
        </w:numPr>
      </w:pPr>
      <w:r>
        <w:rPr>
          <w:rFonts w:ascii="Calibri" w:hAnsi="Calibri" w:eastAsia="Calibri"/>
          <w:color w:val="1F2937"/>
          <w:sz w:val="22"/>
        </w:rPr>
        <w:t>No PHI, live patient care, EHR, patient list, order, ABG, waveform, alarm, monitor, ventilator, device, event, staff-evaluation, or restricted institutional data in Private mode.</w:t>
      </w:r>
    </w:p>
    <w:p>
      <w:pPr>
        <w:spacing w:before="0" w:after="80" w:line="300" w:lineRule="auto"/>
        <w:keepNext/>
        <w:keepLines/>
        <w:numPr>
          <w:ilvl w:val="0"/>
          <w:numId w:val="10"/>
        </w:numPr>
      </w:pPr>
      <w:r>
        <w:rPr>
          <w:rFonts w:ascii="Calibri" w:hAnsi="Calibri" w:eastAsia="Calibri"/>
          <w:color w:val="1F2937"/>
          <w:sz w:val="22"/>
        </w:rPr>
        <w:t>No real patient, staff, learner, incident, or event story in Private mode—even if someone believes it is deidentified.</w:t>
      </w:r>
    </w:p>
    <w:p>
      <w:pPr>
        <w:spacing w:before="0" w:after="80" w:line="300" w:lineRule="auto"/>
        <w:keepNext/>
        <w:keepLines/>
        <w:numPr>
          <w:ilvl w:val="0"/>
          <w:numId w:val="10"/>
        </w:numPr>
      </w:pPr>
      <w:r>
        <w:rPr>
          <w:rFonts w:ascii="Calibri" w:hAnsi="Calibri" w:eastAsia="Calibri"/>
          <w:color w:val="1F2937"/>
          <w:sz w:val="22"/>
        </w:rPr>
        <w:t>No autonomous diagnosis, triage, oxygen or medication change, ventilator setting or mode change, alarm change, airway or procedure action, suctioning, intubation, extubation, transport, page, consult, order, note, signature, consent, patient message, event report, monitoring, or clinical-device action.</w:t>
      </w:r>
    </w:p>
    <w:p>
      <w:pPr>
        <w:spacing w:before="0" w:after="80" w:line="300" w:lineRule="auto"/>
        <w:keepNext/>
        <w:keepLines/>
        <w:numPr>
          <w:ilvl w:val="0"/>
          <w:numId w:val="10"/>
        </w:numPr>
      </w:pPr>
      <w:r>
        <w:rPr>
          <w:rFonts w:ascii="Calibri" w:hAnsi="Calibri" w:eastAsia="Calibri"/>
          <w:color w:val="1F2937"/>
          <w:sz w:val="22"/>
        </w:rPr>
        <w:t>No inference or expansion of title, role, scope, credential, license, competency, medical direction, order, protocol, assignment eligibility, or authorization.</w:t>
      </w:r>
    </w:p>
    <w:p>
      <w:pPr>
        <w:spacing w:before="0" w:after="80" w:line="300" w:lineRule="auto"/>
        <w:keepNext/>
        <w:keepLines/>
        <w:numPr>
          <w:ilvl w:val="0"/>
          <w:numId w:val="10"/>
        </w:numPr>
      </w:pPr>
      <w:r>
        <w:rPr>
          <w:rFonts w:ascii="Calibri" w:hAnsi="Calibri" w:eastAsia="Calibri"/>
          <w:color w:val="1F2937"/>
          <w:sz w:val="22"/>
        </w:rPr>
        <w:t>No patient, professional, staff, learner, or team surveillance, ranking, scoring, productivity prediction, professionalism prediction, burnout or impairment classifier, or automatic employer report.</w:t>
      </w:r>
    </w:p>
    <w:p>
      <w:pPr>
        <w:spacing w:before="0" w:after="80" w:line="300" w:lineRule="auto"/>
        <w:keepNext/>
        <w:keepLines/>
        <w:numPr>
          <w:ilvl w:val="0"/>
          <w:numId w:val="10"/>
        </w:numPr>
      </w:pPr>
      <w:r>
        <w:rPr>
          <w:rFonts w:ascii="Calibri" w:hAnsi="Calibri" w:eastAsia="Calibri"/>
          <w:color w:val="1F2937"/>
          <w:sz w:val="22"/>
        </w:rPr>
        <w:t>No AI determination of staffing adequacy, QI versus research, reportability, cause, fault, policy, IRB status, competency, credential, or personnel consequences.</w:t>
      </w:r>
    </w:p>
    <w:p>
      <w:pPr>
        <w:spacing w:before="0" w:after="80" w:line="300" w:lineRule="auto"/>
        <w:keepNext/>
        <w:keepLines/>
        <w:numPr>
          <w:ilvl w:val="0"/>
          <w:numId w:val="10"/>
        </w:numPr>
      </w:pPr>
      <w:r>
        <w:rPr>
          <w:rFonts w:ascii="Calibri" w:hAnsi="Calibri" w:eastAsia="Calibri"/>
          <w:color w:val="1F2937"/>
          <w:sz w:val="22"/>
        </w:rPr>
        <w:t>No fabricated citation, evidence, case presented as real, device information, achievement, evaluation, credential, data, or result.</w:t>
      </w:r>
    </w:p>
    <w:p>
      <w:pPr>
        <w:spacing w:before="0" w:after="80" w:line="300" w:lineRule="auto"/>
        <w:keepNext/>
        <w:keepLines/>
        <w:numPr>
          <w:ilvl w:val="0"/>
          <w:numId w:val="10"/>
        </w:numPr>
      </w:pPr>
      <w:r>
        <w:rPr>
          <w:rFonts w:ascii="Calibri" w:hAnsi="Calibri" w:eastAsia="Calibri"/>
          <w:color w:val="1F2937"/>
          <w:sz w:val="22"/>
        </w:rPr>
        <w:t>No agent receives clinical or device authority, recursive delegation, hidden persistence, self-approval, permission escalation, unrestricted data, or autonomous contact.</w:t>
      </w:r>
    </w:p>
    <w:p>
      <w:pPr>
        <w:spacing w:before="0" w:after="80" w:line="300" w:lineRule="auto"/>
        <w:keepNext/>
        <w:keepLines/>
        <w:numPr>
          <w:ilvl w:val="0"/>
          <w:numId w:val="10"/>
        </w:numPr>
      </w:pPr>
      <w:r>
        <w:rPr>
          <w:rFonts w:ascii="Calibri" w:hAnsi="Calibri" w:eastAsia="Calibri"/>
          <w:color w:val="1F2937"/>
          <w:sz w:val="22"/>
        </w:rPr>
        <w:t>No background continuation, hidden action, silent retry, or timeout approval.</w:t>
      </w:r>
    </w:p>
    <w:p>
      <w:pPr>
        <w:spacing w:before="0" w:after="80" w:line="300" w:lineRule="auto"/>
        <w:keepLines/>
        <w:numPr>
          <w:ilvl w:val="0"/>
          <w:numId w:val="10"/>
        </w:numPr>
      </w:pPr>
      <w:r>
        <w:rPr>
          <w:rFonts w:ascii="Calibri" w:hAnsi="Calibri" w:eastAsia="Calibri"/>
          <w:color w:val="1F2937"/>
          <w:sz w:val="22"/>
        </w:rPr>
        <w:t>No whole-life, family, finance, or health-care-time details in an institution-managed context; a hidden panel is not separation.</w:t>
      </w:r>
    </w:p>
    <w:p>
      <w:pPr>
        <w:pStyle w:val="Heading1"/>
        <w:keepNext/>
        <w:pageBreakBefore/>
      </w:pPr>
      <w:r>
        <w:t>Recovery and control</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1900"/>
        <w:gridCol w:w="7460"/>
      </w:tblGrid>
      <w:tr>
        <w:trPr>
          <w:cantSplit/>
          <w:tblHeader w:val="true"/>
          <w:cantSplit/>
        </w:trPr>
        <w:tc>
          <w:tcPr>
            <w:tcW w:type="dxa" w:w="19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Control</w:t>
            </w:r>
          </w:p>
        </w:tc>
        <w:tc>
          <w:tcPr>
            <w:tcW w:type="dxa" w:w="746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What it does</w:t>
            </w:r>
          </w:p>
        </w:tc>
      </w:tr>
      <w:tr>
        <w:trPr>
          <w:cantSplit/>
        </w:trPr>
        <w:tc>
          <w:tcPr>
            <w:tcW w:type="dxa" w:w="19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Pause All</w:t>
            </w:r>
          </w:p>
        </w:tc>
        <w:tc>
          <w:tcPr>
            <w:tcW w:type="dxa" w:w="74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Stops pending and new powers, agents, connectors, schedules, writes, and external actions while keeping immediate human safety routes visible.</w:t>
            </w:r>
          </w:p>
        </w:tc>
      </w:tr>
      <w:tr>
        <w:trPr>
          <w:cantSplit/>
        </w:trPr>
        <w:tc>
          <w:tcPr>
            <w:tcW w:type="dxa" w:w="19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Safe Reset</w:t>
            </w:r>
          </w:p>
        </w:tc>
        <w:tc>
          <w:tcPr>
            <w:tcW w:type="dxa" w:w="74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Returns to isolated Private mode, no PHI/live care/device data, conversation/model memory session-only, approved-artifact ACL/retention, connectors/actions Off, agents PERM-P0 Disabled, Core Four, empty fifth, and powers Available Inactive.</w:t>
            </w:r>
          </w:p>
        </w:tc>
      </w:tr>
      <w:tr>
        <w:trPr>
          <w:cantSplit/>
        </w:trPr>
        <w:tc>
          <w:tcPr>
            <w:tcW w:type="dxa" w:w="19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Remove one power</w:t>
            </w:r>
          </w:p>
        </w:tc>
        <w:tc>
          <w:tcPr>
            <w:tcW w:type="dxa" w:w="74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Previews dependent views, records, permissions, agents, and runs; preserves the foundation and unrelated work.</w:t>
            </w:r>
          </w:p>
        </w:tc>
      </w:tr>
      <w:tr>
        <w:trPr>
          <w:cantSplit/>
        </w:trPr>
        <w:tc>
          <w:tcPr>
            <w:tcW w:type="dxa" w:w="19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Remove overlay</w:t>
            </w:r>
          </w:p>
        </w:tc>
        <w:tc>
          <w:tcPr>
            <w:tcW w:type="dxa" w:w="74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Removes BREATHE powers and overlay views while preserving the respiratory foundation and My BREATHE shell.</w:t>
            </w:r>
          </w:p>
        </w:tc>
      </w:tr>
      <w:tr>
        <w:trPr>
          <w:cantSplit/>
        </w:trPr>
        <w:tc>
          <w:tcPr>
            <w:tcW w:type="dxa" w:w="19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Full uninstall</w:t>
            </w:r>
          </w:p>
        </w:tc>
        <w:tc>
          <w:tcPr>
            <w:tcW w:type="dxa" w:w="74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Previews restoration of S0, preserves unrelated work, and issues a receipt.</w:t>
            </w:r>
          </w:p>
        </w:tc>
      </w:tr>
      <w:tr>
        <w:trPr>
          <w:cantSplit/>
        </w:trPr>
        <w:tc>
          <w:tcPr>
            <w:tcW w:type="dxa" w:w="19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Agent incident</w:t>
            </w:r>
          </w:p>
        </w:tc>
        <w:tc>
          <w:tcPr>
            <w:tcW w:type="dxa" w:w="74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Kill or pause, contain, use manual fallback, route to authorized humans, verify rollback and purge, and prohibit self-restart.</w:t>
            </w:r>
          </w:p>
        </w:tc>
      </w:tr>
    </w:tbl>
    <w:p>
      <w:pPr>
        <w:spacing w:before="0" w:after="40"/>
      </w:pPr>
    </w:p>
    <w:p>
      <w:pPr>
        <w:pStyle w:val="Heading1"/>
        <w:keepNext/>
      </w:pPr>
      <w:r>
        <w:t>Source watch and release assurance</w:t>
      </w:r>
    </w:p>
    <w:p>
      <w:pPr>
        <w:spacing w:before="0" w:after="240" w:line="288" w:lineRule="auto"/>
      </w:pPr>
      <w:r>
        <w:rPr>
          <w:rFonts w:ascii="Calibri" w:hAnsi="Calibri" w:eastAsia="Calibri"/>
          <w:b/>
          <w:color w:val="123047"/>
          <w:sz w:val="26"/>
        </w:rPr>
        <w:t>Sources are references—not permission. BREATHE records version, status, applicability, and expiry. Local law, licensure, employer policy, medical direction, orders and protocols, manufacturer instructions, and authorized humans control. NBRC records verify credential status only.</w:t>
      </w:r>
    </w:p>
    <w:p>
      <w:pPr>
        <w:spacing w:before="0" w:after="80" w:line="300" w:lineRule="auto"/>
        <w:keepNext/>
        <w:keepLines/>
        <w:numPr>
          <w:ilvl w:val="0"/>
          <w:numId w:val="10"/>
        </w:numPr>
      </w:pPr>
      <w:r>
        <w:rPr>
          <w:rFonts w:ascii="Calibri" w:hAnsi="Calibri" w:eastAsia="Calibri"/>
          <w:color w:val="1F2937"/>
          <w:sz w:val="22"/>
        </w:rPr>
        <w:t>AARC: clinical-practice-guideline status; Model Practice Act and Safe and Effective Staffing Guide as context—not local authority.</w:t>
      </w:r>
    </w:p>
    <w:p>
      <w:pPr>
        <w:spacing w:before="0" w:after="80" w:line="300" w:lineRule="auto"/>
        <w:keepNext/>
        <w:keepLines/>
        <w:numPr>
          <w:ilvl w:val="0"/>
          <w:numId w:val="10"/>
        </w:numPr>
      </w:pPr>
      <w:r>
        <w:rPr>
          <w:rFonts w:ascii="Calibri" w:hAnsi="Calibri" w:eastAsia="Calibri"/>
          <w:color w:val="1F2937"/>
          <w:sz w:val="22"/>
        </w:rPr>
        <w:t>NBRC: credential status; CoARC: program-accreditation context—not licensure, competency, privilege, or scope.</w:t>
      </w:r>
    </w:p>
    <w:p>
      <w:pPr>
        <w:spacing w:before="0" w:after="80" w:line="300" w:lineRule="auto"/>
        <w:keepNext/>
        <w:keepLines/>
        <w:numPr>
          <w:ilvl w:val="0"/>
          <w:numId w:val="10"/>
        </w:numPr>
      </w:pPr>
      <w:r>
        <w:rPr>
          <w:rFonts w:ascii="Calibri" w:hAnsi="Calibri" w:eastAsia="Calibri"/>
          <w:color w:val="1F2937"/>
          <w:sz w:val="22"/>
        </w:rPr>
        <w:t>AHRQ TeamSTEPPS: human communication, check-backs, handoffs, and coordination.</w:t>
      </w:r>
    </w:p>
    <w:p>
      <w:pPr>
        <w:spacing w:before="0" w:after="80" w:line="300" w:lineRule="auto"/>
        <w:keepNext/>
        <w:keepLines/>
        <w:numPr>
          <w:ilvl w:val="0"/>
          <w:numId w:val="10"/>
        </w:numPr>
      </w:pPr>
      <w:r>
        <w:rPr>
          <w:rFonts w:ascii="Calibri" w:hAnsi="Calibri" w:eastAsia="Calibri"/>
          <w:color w:val="1F2937"/>
          <w:sz w:val="22"/>
        </w:rPr>
        <w:t>HHS: HIPAA minimum necessary and de-identification; applicable local privacy, retention, and incident policy still apply.</w:t>
      </w:r>
    </w:p>
    <w:p>
      <w:pPr>
        <w:spacing w:before="0" w:after="80" w:line="300" w:lineRule="auto"/>
        <w:keepLines/>
        <w:numPr>
          <w:ilvl w:val="0"/>
          <w:numId w:val="10"/>
        </w:numPr>
      </w:pPr>
      <w:r>
        <w:rPr>
          <w:rFonts w:ascii="Calibri" w:hAnsi="Calibri" w:eastAsia="Calibri"/>
          <w:color w:val="1F2937"/>
          <w:sz w:val="22"/>
        </w:rPr>
        <w:t>NIST AI RMF, FDA CDS/device-cybersecurity guidance, and WCAG 2.2: governance, boundary awareness, and accessibility.</w:t>
      </w:r>
    </w:p>
    <w:p>
      <w:pPr>
        <w:spacing w:before="120" w:after="200" w:line="276" w:lineRule="auto"/>
        <w:shd w:fill="FFF4D6"/>
        <w:pBdr>
          <w:left w:val="single" w:sz="18" w:space="8" w:color="B78316"/>
        </w:pBdr>
        <w:ind w:left="180" w:right="120"/>
      </w:pPr>
      <w:r>
        <w:rPr>
          <w:rFonts w:ascii="Calibri" w:hAnsi="Calibri" w:eastAsia="Calibri"/>
          <w:b/>
          <w:color w:val="123047"/>
          <w:sz w:val="22"/>
        </w:rPr>
        <w:t xml:space="preserve">Current-source and independence note: </w:t>
      </w:r>
      <w:r>
        <w:rPr>
          <w:rFonts w:ascii="Calibri" w:hAnsi="Calibri" w:eastAsia="Calibri"/>
          <w:color w:val="1F2937"/>
          <w:sz w:val="22"/>
        </w:rPr>
        <w:t>Recheck official and local versions at use time. BREATHE preserves source status and expiry, but is independent and is not endorsed, certified, accredited, or approved by AARC, NBRC, CoARC, HHS, AHRQ, NIST, FDA, or W3C.</w:t>
      </w:r>
    </w:p>
    <w:p>
      <w:pPr>
        <w:pStyle w:val="Heading2"/>
        <w:keepNext/>
      </w:pPr>
      <w:r>
        <w:t>160 release checks</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2600"/>
        <w:gridCol w:w="1000"/>
        <w:gridCol w:w="5760"/>
      </w:tblGrid>
      <w:tr>
        <w:trPr>
          <w:cantSplit/>
          <w:tblHeader w:val="true"/>
          <w:cantSplit/>
        </w:trPr>
        <w:tc>
          <w:tcPr>
            <w:tcW w:type="dxa" w:w="26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Suite</w:t>
            </w:r>
          </w:p>
        </w:tc>
        <w:tc>
          <w:tcPr>
            <w:tcW w:type="dxa" w:w="10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Checks</w:t>
            </w:r>
          </w:p>
        </w:tc>
        <w:tc>
          <w:tcPr>
            <w:tcW w:type="dxa" w:w="576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Purpose</w:t>
            </w:r>
          </w:p>
        </w:tc>
      </w:tr>
      <w:tr>
        <w:trPr>
          <w:cantSplit/>
        </w:trPr>
        <w:tc>
          <w:tcPr>
            <w:tcW w:type="dxa" w:w="26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Foundation RA-A01–RA-I08</w:t>
            </w:r>
          </w:p>
        </w:tc>
        <w:tc>
          <w:tcPr>
            <w:tcW w:type="dxa" w:w="10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72</w:t>
            </w:r>
          </w:p>
        </w:tc>
        <w:tc>
          <w:tcPr>
            <w:tcW w:type="dxa" w:w="57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Isolation, SCOPE, privacy/device blocks, capacity, Source Watch, typed schemas, shell accessibility, checkpoints, persistence.</w:t>
            </w:r>
          </w:p>
        </w:tc>
      </w:tr>
      <w:tr>
        <w:trPr>
          <w:cantSplit/>
        </w:trPr>
        <w:tc>
          <w:tcPr>
            <w:tcW w:type="dxa" w:w="26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Overlay RA-J01–RA-R08</w:t>
            </w:r>
          </w:p>
        </w:tc>
        <w:tc>
          <w:tcPr>
            <w:tcW w:type="dxa" w:w="10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72</w:t>
            </w:r>
          </w:p>
        </w:tc>
        <w:tc>
          <w:tcPr>
            <w:tcW w:type="dxa" w:w="57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Powers, runnable workflows, functional templates, agents, technical boundaries, dashboard, actions, dignity, controls, sources.</w:t>
            </w:r>
          </w:p>
        </w:tc>
      </w:tr>
      <w:tr>
        <w:trPr>
          <w:cantSplit/>
        </w:trPr>
        <w:tc>
          <w:tcPr>
            <w:tcW w:type="dxa" w:w="26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Integration RA-INT01–16</w:t>
            </w:r>
          </w:p>
        </w:tc>
        <w:tc>
          <w:tcPr>
            <w:tcW w:type="dxa" w:w="10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16</w:t>
            </w:r>
          </w:p>
        </w:tc>
        <w:tc>
          <w:tcPr>
            <w:tcW w:type="dxa" w:w="57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One lane/home, framework binding, 24 Available Inactive powers, 10 PERM-P0 agents, recovery, and final report.</w:t>
            </w:r>
          </w:p>
        </w:tc>
      </w:tr>
    </w:tbl>
    <w:p>
      <w:pPr>
        <w:spacing w:before="0" w:after="40"/>
      </w:pPr>
    </w:p>
    <w:p>
      <w:pPr>
        <w:spacing w:before="120" w:after="200" w:line="276" w:lineRule="auto"/>
        <w:shd w:fill="EEF0FA"/>
        <w:pBdr>
          <w:left w:val="single" w:sz="18" w:space="8" w:color="4653A3"/>
        </w:pBdr>
        <w:ind w:left="180" w:right="120"/>
      </w:pPr>
      <w:r>
        <w:rPr>
          <w:rFonts w:ascii="Calibri" w:hAnsi="Calibri" w:eastAsia="Calibri"/>
          <w:b/>
          <w:color w:val="123047"/>
          <w:sz w:val="22"/>
        </w:rPr>
        <w:t xml:space="preserve">Evidence rule: </w:t>
      </w:r>
      <w:r>
        <w:rPr>
          <w:rFonts w:ascii="Calibri" w:hAnsi="Calibri" w:eastAsia="Calibri"/>
          <w:color w:val="1F2937"/>
          <w:sz w:val="22"/>
        </w:rPr>
        <w:t>Every check records method, expected evidence, actual evidence references, environment/version, tester, time, Pass/Fail/Blocked/Not Run result, blocker, remediation owner, retest, and receipt. A checked box without evidence cannot pass.</w:t>
      </w:r>
    </w:p>
    <w:p>
      <w:pPr>
        <w:spacing w:before="120" w:after="200" w:line="276" w:lineRule="auto"/>
        <w:shd w:fill="E8F5F3"/>
        <w:keepLines/>
        <w:pBdr>
          <w:left w:val="single" w:sz="18" w:space="8" w:color="0B7A75"/>
        </w:pBdr>
        <w:ind w:left="180" w:right="120"/>
      </w:pPr>
      <w:r>
        <w:rPr>
          <w:rFonts w:ascii="Calibri" w:hAnsi="Calibri" w:eastAsia="Calibri"/>
          <w:b/>
          <w:color w:val="123047"/>
          <w:sz w:val="22"/>
        </w:rPr>
        <w:t xml:space="preserve">Final reminder: </w:t>
      </w:r>
      <w:r>
        <w:rPr>
          <w:rFonts w:ascii="Calibri" w:hAnsi="Calibri" w:eastAsia="Calibri"/>
          <w:color w:val="1F2937"/>
          <w:sz w:val="22"/>
        </w:rPr>
        <w:t>BREATHE expands respiratory-professional clarity, learning, coordination, quality, life agency, and governed leverage—not AI authority. Respiratory professionals verify scope, communicate, act, and escalate; authorized humans decide and remain accountable.</w:t>
      </w:r>
    </w:p>
    <w:sectPr w:rsidR="00FC693F" w:rsidRPr="0006063C" w:rsidSect="00034616">
      <w:headerReference w:type="default" r:id="rId9"/>
      <w:footerReference w:type="default" r:id="rId10"/>
      <w:pgSz w:w="12240" w:h="15840"/>
      <w:pgMar w:top="1440" w:right="1440" w:bottom="1440" w:left="1440" w:header="708" w:footer="708"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fldSimple w:instr="PAGE">
      <w:r>
        <w:rPr>
          <w:rFonts w:ascii="Calibri" w:hAnsi="Calibri"/>
          <w:color w:val="5F6B76"/>
          <w:sz w:val="18"/>
        </w:rPr>
        <w:t>1</w:t>
      </w:r>
    </w:fldSimpl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jc w:val="center"/>
    </w:pPr>
    <w:r>
      <w:rPr>
        <w:rFonts w:ascii="Calibri" w:hAnsi="Calibri" w:eastAsia="Calibri"/>
        <w:b/>
        <w:color w:val="5F6B76"/>
        <w:sz w:val="17"/>
      </w:rPr>
      <w:t>HERMES–RESPIRATORY CARE AI OS  |  BREATHE COMPLETE EDITION</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abstractNum w:abstractNumId="9">
    <w:multiLevelType w:val="singleLevel"/>
    <w:lvl w:ilvl="0">
      <w:start w:val="1"/>
      <w:numFmt w:val="bullet"/>
      <w:lvlText w:val="•"/>
      <w:lvlJc w:val="left"/>
      <w:pPr>
        <w:tabs>
          <w:tab w:val="num" w:pos="540"/>
        </w:tabs>
        <w:ind w:left="540" w:hanging="270"/>
        <w:spacing w:before="0" w:after="80" w:line="300" w:lineRule="auto"/>
      </w:pPr>
      <w:rPr>
        <w:rFonts w:ascii="Calibri" w:hAnsi="Calibri"/>
      </w:rPr>
    </w:lvl>
  </w:abstractNum>
  <w:num w:numId="10">
    <w:abstractNumId w:val="9"/>
  </w:num>
  <w:abstractNum w:abstractNumId="10">
    <w:multiLevelType w:val="singleLevel"/>
    <w:lvl w:ilvl="0">
      <w:start w:val="1"/>
      <w:numFmt w:val="decimal"/>
      <w:lvlText w:val="%1."/>
      <w:lvlJc w:val="left"/>
      <w:pPr>
        <w:tabs>
          <w:tab w:val="num" w:pos="540"/>
        </w:tabs>
        <w:ind w:left="540" w:hanging="270"/>
        <w:spacing w:before="0" w:after="80" w:line="300" w:lineRule="auto"/>
      </w:pPr>
      <w:rPr>
        <w:rFonts w:ascii="Calibri" w:hAnsi="Calibri"/>
      </w:rPr>
    </w:lvl>
  </w:abstractNum>
  <w:num w:numId="11">
    <w:abstractNumId w:val="10"/>
  </w:num>
  <w:abstractNum w:abstractNumId="11">
    <w:multiLevelType w:val="singleLevel"/>
    <w:lvl w:ilvl="0">
      <w:start w:val="1"/>
      <w:numFmt w:val="decimal"/>
      <w:lvlText w:val="%1."/>
      <w:lvlJc w:val="left"/>
      <w:pPr>
        <w:tabs>
          <w:tab w:val="num" w:pos="540"/>
        </w:tabs>
        <w:ind w:left="540" w:hanging="270"/>
        <w:spacing w:before="0" w:after="80" w:line="300" w:lineRule="auto"/>
      </w:pPr>
      <w:rPr>
        <w:rFonts w:ascii="Calibri" w:hAnsi="Calibri"/>
      </w:rPr>
    </w:lvl>
  </w:abstractNum>
  <w:num w:numId="12">
    <w:abstractNumId w:val="11"/>
  </w:num>
  <w:abstractNum w:abstractNumId="12">
    <w:multiLevelType w:val="singleLevel"/>
    <w:lvl w:ilvl="0">
      <w:start w:val="1"/>
      <w:numFmt w:val="decimal"/>
      <w:lvlText w:val="%1."/>
      <w:lvlJc w:val="left"/>
      <w:pPr>
        <w:tabs>
          <w:tab w:val="num" w:pos="540"/>
        </w:tabs>
        <w:ind w:left="540" w:hanging="270"/>
        <w:spacing w:before="0" w:after="80" w:line="300" w:lineRule="auto"/>
      </w:pPr>
      <w:rPr>
        <w:rFonts w:ascii="Calibri" w:hAnsi="Calibri"/>
      </w:rPr>
    </w:lvl>
  </w:abstract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before="0" w:after="120" w:line="300" w:lineRule="auto"/>
    </w:pPr>
    <w:rPr>
      <w:rFonts w:ascii="Calibri" w:hAnsi="Calibri"/>
      <w:color w:val="1F2937"/>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60" w:after="200" w:line="240" w:lineRule="auto"/>
      <w:outlineLvl w:val="0"/>
    </w:pPr>
    <w:rPr>
      <w:rFonts w:asciiTheme="majorHAnsi" w:eastAsiaTheme="majorEastAsia" w:hAnsiTheme="majorHAnsi" w:cstheme="majorBidi" w:ascii="Calibri" w:hAnsi="Calibri"/>
      <w:b/>
      <w:bCs/>
      <w:color w:val="2E74B5"/>
      <w:sz w:val="32"/>
      <w:szCs w:val="28"/>
    </w:rPr>
  </w:style>
  <w:style w:type="paragraph" w:styleId="Heading2">
    <w:name w:val="heading 2"/>
    <w:basedOn w:val="Normal"/>
    <w:next w:val="Normal"/>
    <w:link w:val="Heading2Char"/>
    <w:uiPriority w:val="9"/>
    <w:unhideWhenUsed/>
    <w:qFormat/>
    <w:rsid w:val="00FC693F"/>
    <w:pPr>
      <w:keepNext/>
      <w:keepLines/>
      <w:spacing w:before="280" w:after="140" w:line="240" w:lineRule="auto"/>
      <w:outlineLvl w:val="1"/>
    </w:pPr>
    <w:rPr>
      <w:rFonts w:asciiTheme="majorHAnsi" w:eastAsiaTheme="majorEastAsia" w:hAnsiTheme="majorHAnsi" w:cstheme="majorBidi" w:ascii="Calibri" w:hAnsi="Calibri"/>
      <w:b/>
      <w:bCs/>
      <w:color w:val="2E74B5"/>
      <w:sz w:val="26"/>
      <w:szCs w:val="26"/>
    </w:rPr>
  </w:style>
  <w:style w:type="paragraph" w:styleId="Heading3">
    <w:name w:val="heading 3"/>
    <w:basedOn w:val="Normal"/>
    <w:next w:val="Normal"/>
    <w:link w:val="Heading3Char"/>
    <w:uiPriority w:val="9"/>
    <w:unhideWhenUsed/>
    <w:qFormat/>
    <w:rsid w:val="00FC693F"/>
    <w:pPr>
      <w:keepNext/>
      <w:keepLines/>
      <w:spacing w:before="200" w:after="100" w:line="240" w:lineRule="auto"/>
      <w:outlineLvl w:val="2"/>
    </w:pPr>
    <w:rPr>
      <w:rFonts w:asciiTheme="majorHAnsi" w:eastAsiaTheme="majorEastAsia" w:hAnsiTheme="majorHAnsi" w:cstheme="majorBidi" w:ascii="Calibri" w:hAnsi="Calibri"/>
      <w:b/>
      <w:bCs/>
      <w:color w:val="1F4D78"/>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GuideTitle">
    <w:name w:val="Guide Title"/>
    <w:pPr>
      <w:spacing w:after="160" w:line="240" w:lineRule="auto"/>
      <w:jc w:val="center"/>
    </w:pPr>
    <w:rPr>
      <w:rFonts w:ascii="Calibri" w:hAnsi="Calibri"/>
      <w:b/>
      <w:color w:val="123047"/>
      <w:sz w:val="6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image" Target="media/image1.png"/><Relationship Id="rId1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BREATHE — Respiratory Care Complete AI OS Setup Guide</dc:title>
  <dc:subject>Standalone respiratory care AI OS installation, benefits, technical learning, care orchestration, and agent management</dc:subject>
  <dc:creator>Hermes–Respiratory Care AI OS</dc:creator>
  <cp:keywords>respiratory care, respiratory therapist, scope, device safety, care orchestration, AI agents, BREATHE</cp:keywords>
  <dc:description>generated by python-docx</dc:description>
  <cp:lastModifiedBy/>
  <cp:revision>1</cp:revision>
  <dcterms:created xsi:type="dcterms:W3CDTF">2013-12-23T23:15:00Z</dcterms:created>
  <dcterms:modified xsi:type="dcterms:W3CDTF">2013-12-23T23:15:00Z</dcterms:modified>
  <cp:category/>
</cp:coreProperties>
</file>