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480" w:after="260"/>
      </w:pPr>
      <w:r>
        <w:rPr>
          <w:rFonts w:ascii="Calibri" w:hAnsi="Calibri" w:eastAsia="Calibri"/>
          <w:b/>
          <w:color w:val="0B7A75"/>
          <w:sz w:val="21"/>
        </w:rPr>
        <w:t>WELLNESS SERVICES MARKETER &amp; MANAGER ENABLEMENT PACK</w:t>
      </w:r>
    </w:p>
    <w:p>
      <w:pPr>
        <w:spacing w:after="80"/>
      </w:pPr>
      <w:r>
        <w:rPr>
          <w:rFonts w:ascii="Calibri" w:hAnsi="Calibri" w:eastAsia="Calibri"/>
          <w:b/>
          <w:color w:val="123047"/>
          <w:sz w:val="62"/>
        </w:rPr>
        <w:t>THRIVE</w:t>
      </w:r>
    </w:p>
    <w:p>
      <w:pPr>
        <w:spacing w:after="140"/>
      </w:pPr>
      <w:r>
        <w:rPr>
          <w:rFonts w:ascii="Calibri" w:hAnsi="Calibri" w:eastAsia="Calibri"/>
          <w:b/>
          <w:color w:val="176B87"/>
          <w:sz w:val="43"/>
        </w:rPr>
        <w:t>Wellness Services Marketer &amp; Manager Complete AI OS</w:t>
      </w:r>
    </w:p>
    <w:p>
      <w:pPr>
        <w:spacing w:after="360"/>
      </w:pPr>
      <w:r>
        <w:rPr>
          <w:rFonts w:ascii="Calibri" w:hAnsi="Calibri" w:eastAsia="Calibri"/>
          <w:b/>
          <w:color w:val="5F6B76"/>
          <w:sz w:val="28"/>
        </w:rPr>
        <w:t>Setup, Benefits, Mission Control, Ethical Growth, Operations &amp; Agent-Governance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Help wellness marketers and managers connect mission, truthful claims, human experience, relationships, campaigns, service capacity, value, whole-life goals and governed AI—without turning Hermes into the business, clinician, CRM, booking engine or publisher.</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The one-file installation is substantial and may require several visible Hermes turns. It never continues in the background. Keep the S0, S1 and S2 receipts and wait for the final THRIVE Activation Report.</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Safe start: </w:t>
      </w:r>
      <w:r>
        <w:rPr>
          <w:rFonts w:ascii="Calibri" w:hAnsi="Calibri" w:eastAsia="Calibri"/>
          <w:color w:val="1F2937"/>
          <w:sz w:val="22"/>
        </w:rPr>
        <w:t>All 24 powers install Available Inactive; all ten agents install PERM-P0 Disabled; sending, spending, publishing, booking, referral, transactions, connectors and external writes remain Off.</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20"/>
        <w:gridCol w:w="3420"/>
        <w:gridCol w:w="3420"/>
      </w:tblGrid>
      <w:tr>
        <w:trPr>
          <w:cantSplit/>
          <w:tblHeader w:val="true"/>
          <w:cantSplit/>
        </w:trPr>
        <w:tc>
          <w:tcPr>
            <w:tcW w:type="dxa" w:w="25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Program</w:t>
            </w:r>
          </w:p>
        </w:tc>
        <w:tc>
          <w:tcPr>
            <w:tcW w:type="dxa" w:w="34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Installation identity</w:t>
            </w:r>
          </w:p>
        </w:tc>
        <w:tc>
          <w:tcPr>
            <w:tcW w:type="dxa" w:w="34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Safe starting state</w:t>
            </w:r>
          </w:p>
        </w:tc>
      </w:tr>
      <w:tr>
        <w:trPr>
          <w:cantSplit/>
        </w:trPr>
        <w:tc>
          <w:tcPr>
            <w:tcW w:type="dxa" w:w="25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THRIVE Complete Edition</w:t>
            </w:r>
          </w:p>
        </w:tc>
        <w:tc>
          <w:tcPr>
            <w:tcW w:type="dxa" w:w="34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wellness_services_marketing_management • My THRIVE Mission Control</w:t>
            </w:r>
          </w:p>
        </w:tc>
        <w:tc>
          <w:tcPr>
            <w:tcW w:type="dxa" w:w="34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 approved aggregate • powers inactive • agents P0 • actions Off</w:t>
            </w:r>
          </w:p>
        </w:tc>
      </w:tr>
    </w:tbl>
    <w:p>
      <w:pPr>
        <w:spacing w:before="0" w:after="40"/>
      </w:pPr>
    </w:p>
    <w:p>
      <w:pPr>
        <w:spacing w:before="240"/>
      </w:pPr>
      <w:r>
        <w:rPr>
          <w:rFonts w:ascii="Calibri" w:hAnsi="Calibri" w:eastAsia="Calibri"/>
          <w:b/>
          <w:color w:val="5F6B76"/>
          <w:sz w:val="20"/>
        </w:rPr>
        <w:t>Version 1.0  •  Reviewed July 16, 2026  •  Operator-controlled</w:t>
      </w:r>
    </w:p>
    <w:p>
      <w:pPr>
        <w:pStyle w:val="Heading1"/>
        <w:keepNext/>
        <w:pageBreakBefore/>
      </w:pPr>
      <w:r>
        <w:t>The outcome: trusted growth and humane management without transferred authority</w:t>
      </w:r>
    </w:p>
    <w:p>
      <w:pPr>
        <w:spacing w:before="0" w:after="240" w:line="288" w:lineRule="auto"/>
      </w:pPr>
      <w:r>
        <w:rPr>
          <w:rFonts w:ascii="Calibri" w:hAnsi="Calibri" w:eastAsia="Calibri"/>
          <w:b/>
          <w:color w:val="123047"/>
          <w:sz w:val="26"/>
        </w:rPr>
        <w:t>THRIVE turns scattered chats, claim anxiety, content churn, channel complexity, service-capacity surprises and AI risk into clear questions, governed drafts, human decisions and evidence-bearing learning loops.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3840"/>
        <w:gridCol w:w="362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Pressure the user feels</w:t>
            </w:r>
          </w:p>
        </w:tc>
        <w:tc>
          <w:tcPr>
            <w:tcW w:type="dxa" w:w="38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What THRIVE prepares</w:t>
            </w:r>
          </w:p>
        </w:tc>
        <w:tc>
          <w:tcPr>
            <w:tcW w:type="dxa" w:w="36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What remains human-owned</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Too many tools and priorities</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One seven-item focus view, owners, states, expiry and safe exits</w:t>
            </w:r>
          </w:p>
        </w:tc>
        <w:tc>
          <w:tcPr>
            <w:tcW w:type="dxa" w:w="36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Priority, delegation, commitment and official updates</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Pressure to grow without overclaiming</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Claim-to-source cards, safer wording, limitations and reviewer queue</w:t>
            </w:r>
          </w:p>
        </w:tc>
        <w:tc>
          <w:tcPr>
            <w:tcW w:type="dxa" w:w="36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Substantiation, legal/clinical judgment, approval and publication</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Generic AI content and lost voice</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Briefs, accessible variants and anti-slop/human-voice review</w:t>
            </w:r>
          </w:p>
        </w:tc>
        <w:tc>
          <w:tcPr>
            <w:tcW w:type="dxa" w:w="36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Authorship, lived context, taste, accountability and release</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Disconnected marketing and service reality</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Aggregate campaign, journey, capacity, SOP and handoff questions</w:t>
            </w:r>
          </w:p>
        </w:tc>
        <w:tc>
          <w:tcPr>
            <w:tcW w:type="dxa" w:w="36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Live service, staffing, scheduling, referral and customer decisions</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Consent, privacy and reputation exposure</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Choice-flow, disclosure, rights, tracker and source-review prompts</w:t>
            </w:r>
          </w:p>
        </w:tc>
        <w:tc>
          <w:tcPr>
            <w:tcW w:type="dxa" w:w="36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Applicability, consent implementation, incident response and correction</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Career and life crowded out</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Owner-only mission, learning, community and protected-life plans</w:t>
            </w:r>
          </w:p>
        </w:tc>
        <w:tc>
          <w:tcPr>
            <w:tcW w:type="dxa" w:w="36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What to share, pursue, pause or delete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AI agents with unclear limits</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Use-case intake, ORBIT charters, tests, kill, rollback, purge and retirement</w:t>
            </w:r>
          </w:p>
        </w:tc>
        <w:tc>
          <w:tcPr>
            <w:tcW w:type="dxa" w:w="36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Authorization, risk acceptance, one-run release and accountability</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Benefit truth: </w:t>
      </w:r>
      <w:r>
        <w:rPr>
          <w:rFonts w:ascii="Calibri" w:hAnsi="Calibri" w:eastAsia="Calibri"/>
          <w:color w:val="1F2937"/>
          <w:sz w:val="22"/>
        </w:rPr>
        <w:t>These are intended benefits—not guaranteed reach, revenue, conversion, retention, health outcome, compliance, accessibility or return. Establish a baseline; record burden and harms; report only observed value.</w:t>
      </w:r>
    </w:p>
    <w:p>
      <w:pPr>
        <w:pStyle w:val="Heading1"/>
        <w:keepNext/>
        <w:pageBreakBefore/>
      </w:pPr>
      <w:r>
        <w:t>Standalone Nurse AI OS lane, explicit context, one active hat</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Separate means separate: </w:t>
      </w:r>
      <w:r>
        <w:rPr>
          <w:rFonts w:ascii="Calibri" w:hAnsi="Calibri" w:eastAsia="Calibri"/>
          <w:color w:val="1F2937"/>
          <w:sz w:val="22"/>
        </w:rPr>
        <w:t>THRIVE uses lane wellness_services_marketing_management, lane root /wellness-services-marketing-managers and namespace wellness_thrive.*. Its canonical Markdown dashboard is /wellness-services-marketing-managers/dashboard; /wellness-services-marketing-managers/mission-control is the lane-scoped alias to the same state. THRIVE never registers global /dashboard or /mission-control routes. The parent Nurse AI OS receives only an approved coarse status card and deep link—not THRIVE detail.</w:t>
      </w:r>
    </w:p>
    <w:p>
      <w:pPr>
        <w:pStyle w:val="Heading2"/>
        <w:keepNext/>
      </w:pPr>
      <w:r>
        <w:t>The active-hat model</w:t>
      </w:r>
    </w:p>
    <w:p>
      <w:pPr>
        <w:spacing w:before="0" w:after="80" w:line="300" w:lineRule="auto"/>
        <w:keepNext/>
        <w:keepLines/>
        <w:numPr>
          <w:ilvl w:val="0"/>
          <w:numId w:val="10"/>
        </w:numPr>
      </w:pPr>
      <w:r>
        <w:rPr>
          <w:rFonts w:ascii="Calibri" w:hAnsi="Calibri" w:eastAsia="Calibri"/>
          <w:color w:val="1F2937"/>
          <w:sz w:val="22"/>
        </w:rPr>
        <w:t>Choose exactly one active hat for each workflow: marketer, manager, owner/operator, community or partnership lead, clinician-marketer, educator, consultant, committee member or another verified role.</w:t>
      </w:r>
    </w:p>
    <w:p>
      <w:pPr>
        <w:spacing w:before="0" w:after="80" w:line="300" w:lineRule="auto"/>
        <w:keepNext/>
        <w:keepLines/>
        <w:numPr>
          <w:ilvl w:val="0"/>
          <w:numId w:val="10"/>
        </w:numPr>
      </w:pPr>
      <w:r>
        <w:rPr>
          <w:rFonts w:ascii="Calibri" w:hAnsi="Calibri" w:eastAsia="Calibri"/>
          <w:color w:val="1F2937"/>
          <w:sz w:val="22"/>
        </w:rPr>
        <w:t>Keep job title, credential, service scope, organization role, delegated authority, budget/offer threshold, data authorization and external-communications authority as separate fields.</w:t>
      </w:r>
    </w:p>
    <w:p>
      <w:pPr>
        <w:spacing w:before="0" w:after="80" w:line="300" w:lineRule="auto"/>
        <w:keepNext/>
        <w:keepLines/>
        <w:numPr>
          <w:ilvl w:val="0"/>
          <w:numId w:val="10"/>
        </w:numPr>
      </w:pPr>
      <w:r>
        <w:rPr>
          <w:rFonts w:ascii="Calibri" w:hAnsi="Calibri" w:eastAsia="Calibri"/>
          <w:color w:val="1F2937"/>
          <w:sz w:val="22"/>
        </w:rPr>
        <w:t>A clinical credential does not grant marketing, employment, contracting or data-use authority; an owner title does not grant clinical scope or permission to use health data.</w:t>
      </w:r>
    </w:p>
    <w:p>
      <w:pPr>
        <w:spacing w:before="0" w:after="80" w:line="300" w:lineRule="auto"/>
        <w:keepNext/>
        <w:keepLines/>
        <w:numPr>
          <w:ilvl w:val="0"/>
          <w:numId w:val="10"/>
        </w:numPr>
      </w:pPr>
      <w:r>
        <w:rPr>
          <w:rFonts w:ascii="Calibri" w:hAnsi="Calibri" w:eastAsia="Calibri"/>
          <w:color w:val="1F2937"/>
          <w:sz w:val="22"/>
        </w:rPr>
        <w:t>When work crosses hats, split it into separately owned artifacts and connect them through a named human handoff; changing hats reruns CHART.</w:t>
      </w:r>
    </w:p>
    <w:p>
      <w:pPr>
        <w:spacing w:before="0" w:after="80" w:line="300" w:lineRule="auto"/>
        <w:keepLines/>
        <w:numPr>
          <w:ilvl w:val="0"/>
          <w:numId w:val="10"/>
        </w:numPr>
      </w:pPr>
      <w:r>
        <w:rPr>
          <w:rFonts w:ascii="Calibri" w:hAnsi="Calibri" w:eastAsia="Calibri"/>
          <w:color w:val="1F2937"/>
          <w:sz w:val="22"/>
        </w:rPr>
        <w:t>Personal mission, career, relationship, community and protected-life content uses a personally controlled cryptographically isolated store—or stays unavailable if isolation cannot be proved.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50"/>
        <w:gridCol w:w="7110"/>
      </w:tblGrid>
      <w:tr>
        <w:trPr>
          <w:cantSplit/>
          <w:tblHeader w:val="true"/>
          <w:cantSplit/>
        </w:trPr>
        <w:tc>
          <w:tcPr>
            <w:tcW w:type="dxa" w:w="2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Context field</w:t>
            </w:r>
          </w:p>
        </w:tc>
        <w:tc>
          <w:tcPr>
            <w:tcW w:type="dxa" w:w="71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Required truth</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Organization and service</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Exact entity, approved wellness service, operating model, service boundary and location</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Active hat</w:t>
            </w:r>
          </w:p>
        </w:tc>
        <w:tc>
          <w:tcPr>
            <w:tcW w:type="dxa" w:w="71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Exact role for this workflow, authority source, scope, exclusions and expiry</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Audience and channel</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Coarse approved audience, jurisdiction, channel, accessibility/language needs and no-sensitive-inference rule</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Human routes</w:t>
            </w:r>
          </w:p>
        </w:tc>
        <w:tc>
          <w:tcPr>
            <w:tcW w:type="dxa" w:w="71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Claim, brand, service, clinical/regulatory, legal/compliance, privacy/security, accessibility, finance, HR, procurement and incident owners</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boundary</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Owner-only sharing choice, retention/delete date and proof that employer/campaign analytics cannot read it</w:t>
            </w:r>
          </w:p>
        </w:tc>
      </w:tr>
    </w:tbl>
    <w:p>
      <w:pPr>
        <w:spacing w:before="0" w:after="40"/>
      </w:pPr>
    </w:p>
    <w:p>
      <w:pPr>
        <w:pStyle w:val="Heading1"/>
        <w:keepNext/>
        <w:pageBreakBefore/>
      </w:pPr>
      <w:r>
        <w:t>The governing sequence: CLAIM → CHART → ALIGN → ORBIT → human decision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150"/>
        <w:gridCol w:w="4950"/>
        <w:gridCol w:w="3260"/>
      </w:tblGrid>
      <w:tr>
        <w:trPr>
          <w:cantSplit/>
          <w:tblHeader w:val="true"/>
          <w:cantSplit/>
        </w:trPr>
        <w:tc>
          <w:tcPr>
            <w:tcW w:type="dxa" w:w="11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Gate</w:t>
            </w:r>
          </w:p>
        </w:tc>
        <w:tc>
          <w:tcPr>
            <w:tcW w:type="dxa" w:w="49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Questions it must answer</w:t>
            </w:r>
          </w:p>
        </w:tc>
        <w:tc>
          <w:tcPr>
            <w:tcW w:type="dxa" w:w="3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Hard stop</w:t>
            </w:r>
          </w:p>
        </w:tc>
      </w:tr>
      <w:tr>
        <w:trPr>
          <w:cantSplit/>
        </w:trPr>
        <w:tc>
          <w:tcPr>
            <w:tcW w:type="dxa" w:w="1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CLAIM</w:t>
            </w:r>
          </w:p>
        </w:tc>
        <w:tc>
          <w:tcPr>
            <w:tcW w:type="dxa" w:w="49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Exact words, visual, placement, audience and requested action; claim class; evidence, population, limits, conflicts, reviewer, rights/consent, channel and expiry</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Unsupported, stale, fabricated, guaranteed, diagnostic, advice-like or misleading net impression blocks release.</w:t>
            </w:r>
          </w:p>
        </w:tc>
      </w:tr>
      <w:tr>
        <w:trPr>
          <w:cantSplit/>
        </w:trPr>
        <w:tc>
          <w:tcPr>
            <w:tcW w:type="dxa" w:w="11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CHART</w:t>
            </w:r>
          </w:p>
        </w:tc>
        <w:tc>
          <w:tcPr>
            <w:tcW w:type="dxa" w:w="49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Context/consequence; human authority and active hat; authorization/access/action; regulation/risk/resources/records; trace/test/transition/expiry/termination</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Unknown, stale, expired, conflicting or out-of-authority state is a Question or Block—not permission.</w:t>
            </w:r>
          </w:p>
        </w:tc>
      </w:tr>
      <w:tr>
        <w:trPr>
          <w:cantSplit/>
        </w:trPr>
        <w:tc>
          <w:tcPr>
            <w:tcW w:type="dxa" w:w="1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ALIGN</w:t>
            </w:r>
          </w:p>
        </w:tc>
        <w:tc>
          <w:tcPr>
            <w:tcW w:type="dxa" w:w="49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Aim and decision boundary; leadership/accountability; inputs/interdependencies/official systems; gates/contingencies/communication; next state/receiver/closed loop/expiry</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 plan, message or model state never becomes a decision, acknowledgment, contact, task or official record.</w:t>
            </w:r>
          </w:p>
        </w:tc>
      </w:tr>
      <w:tr>
        <w:trPr>
          <w:cantSplit/>
        </w:trPr>
        <w:tc>
          <w:tcPr>
            <w:tcW w:type="dxa" w:w="11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ORBIT</w:t>
            </w:r>
          </w:p>
        </w:tc>
        <w:tc>
          <w:tcPr>
            <w:tcW w:type="dxa" w:w="49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Objective/owner/non-goals; rights and prohibited decisions; data/source/tool/destination/time/cost boundaries; independent tests; transfer to human or terminate</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No self-approval, permission escalation, recursive delegation, hidden retry, unbounded persistence or prohibited action.</w:t>
            </w:r>
          </w:p>
        </w:tc>
      </w:tr>
    </w:tbl>
    <w:p>
      <w:pPr>
        <w:spacing w:before="0" w:after="40"/>
      </w:pPr>
    </w:p>
    <w:p>
      <w:pPr>
        <w:spacing w:before="120" w:after="200" w:line="276" w:lineRule="auto"/>
        <w:shd w:fill="E8F4EE"/>
        <w:pBdr>
          <w:left w:val="single" w:sz="18" w:space="8" w:color="24705A"/>
        </w:pBdr>
        <w:ind w:left="180" w:right="120"/>
      </w:pPr>
      <w:r>
        <w:rPr>
          <w:rFonts w:ascii="Calibri" w:hAnsi="Calibri" w:eastAsia="Calibri"/>
          <w:b/>
          <w:color w:val="123047"/>
          <w:sz w:val="22"/>
        </w:rPr>
        <w:t xml:space="preserve">Sequence rule: </w:t>
      </w:r>
      <w:r>
        <w:rPr>
          <w:rFonts w:ascii="Calibri" w:hAnsi="Calibri" w:eastAsia="Calibri"/>
          <w:color w:val="1F2937"/>
          <w:sz w:val="22"/>
        </w:rPr>
        <w:t>CLAIM governs the exact public-facing promise. CHART gates authority and action. ALIGN organizes human-owned work. ORBIT governs a software agent. A named authorized human decides and acts in the official system. Passing a gate permits preparation only.</w:t>
      </w:r>
    </w:p>
    <w:p>
      <w:pPr>
        <w:pStyle w:val="Heading2"/>
        <w:keepNext/>
      </w:pPr>
      <w:r>
        <w:t>Decision-status language</w:t>
      </w:r>
    </w:p>
    <w:p>
      <w:pPr>
        <w:spacing w:before="0" w:after="80" w:line="300" w:lineRule="auto"/>
        <w:keepNext/>
        <w:keepLines/>
        <w:numPr>
          <w:ilvl w:val="0"/>
          <w:numId w:val="10"/>
        </w:numPr>
      </w:pPr>
      <w:r>
        <w:rPr>
          <w:rFonts w:ascii="Calibri" w:hAnsi="Calibri" w:eastAsia="Calibri"/>
          <w:color w:val="1F2937"/>
          <w:sz w:val="22"/>
        </w:rPr>
        <w:t>Proposed — Not Approved: a draft, option or source seed awaiting review.</w:t>
      </w:r>
    </w:p>
    <w:p>
      <w:pPr>
        <w:spacing w:before="0" w:after="80" w:line="300" w:lineRule="auto"/>
        <w:keepNext/>
        <w:keepLines/>
        <w:numPr>
          <w:ilvl w:val="0"/>
          <w:numId w:val="10"/>
        </w:numPr>
      </w:pPr>
      <w:r>
        <w:rPr>
          <w:rFonts w:ascii="Calibri" w:hAnsi="Calibri" w:eastAsia="Calibri"/>
          <w:color w:val="1F2937"/>
          <w:sz w:val="22"/>
        </w:rPr>
        <w:t>Approved for One Bounded Preview or Run: exact purpose, inputs, permission, owner, expiry and safe exit are recorded.</w:t>
      </w:r>
    </w:p>
    <w:p>
      <w:pPr>
        <w:spacing w:before="0" w:after="80" w:line="300" w:lineRule="auto"/>
        <w:keepNext/>
        <w:keepLines/>
        <w:numPr>
          <w:ilvl w:val="0"/>
          <w:numId w:val="10"/>
        </w:numPr>
      </w:pPr>
      <w:r>
        <w:rPr>
          <w:rFonts w:ascii="Calibri" w:hAnsi="Calibri" w:eastAsia="Calibri"/>
          <w:color w:val="1F2937"/>
          <w:sz w:val="22"/>
        </w:rPr>
        <w:t>Accepted / Revised / Deferred / Rejected: a named human records the outcome and rationale.</w:t>
      </w:r>
    </w:p>
    <w:p>
      <w:pPr>
        <w:spacing w:before="0" w:after="80" w:line="300" w:lineRule="auto"/>
        <w:keepLines/>
        <w:numPr>
          <w:ilvl w:val="0"/>
          <w:numId w:val="10"/>
        </w:numPr>
      </w:pPr>
      <w:r>
        <w:rPr>
          <w:rFonts w:ascii="Calibri" w:hAnsi="Calibri" w:eastAsia="Calibri"/>
          <w:color w:val="1F2937"/>
          <w:sz w:val="22"/>
        </w:rPr>
        <w:t>Reconciled in Official System: the authorized human confirms the authoritative destination—not THRIVE or an agent.</w:t>
      </w:r>
    </w:p>
    <w:p>
      <w:pPr>
        <w:pStyle w:val="Heading1"/>
        <w:keepNext/>
        <w:pageBreakBefore/>
      </w:pPr>
      <w:r>
        <w:t>My THRIVE Mission Control — one home, four preview launchers</w:t>
      </w:r>
    </w:p>
    <w:p>
      <w:pPr>
        <w:spacing w:before="0" w:after="240" w:line="288" w:lineRule="auto"/>
      </w:pPr>
      <w:r>
        <w:rPr>
          <w:rFonts w:ascii="Calibri" w:hAnsi="Calibri" w:eastAsia="Calibri"/>
          <w:b/>
          <w:color w:val="123047"/>
          <w:sz w:val="26"/>
        </w:rPr>
        <w:t>Ground Truth &amp; Offer, Reach &amp; Relationships, Run Services &amp; Campaigns, and Learn, Govern &amp; Grow open governed forms and previews from the one lane-scoped dashboard. The optional fifth slot remains empty until a human designs and approves a safe binding.</w:t>
      </w:r>
    </w:p>
    <w:p>
      <w:pPr>
        <w:spacing w:before="120" w:after="80"/>
        <w:jc w:val="center"/>
      </w:pPr>
      <w:r>
        <w:drawing>
          <wp:inline xmlns:a="http://schemas.openxmlformats.org/drawingml/2006/main" xmlns:pic="http://schemas.openxmlformats.org/drawingml/2006/picture">
            <wp:extent cx="5925312" cy="3818534"/>
            <wp:docPr id="1" name="Picture 1" descr="My THRIVE Mission Control dashboard with four preview launchers, a seven-item focus queue, CLAIM–CHART–ALIGN–ORBIT gates, actions-Off status, agent P0 status and permanent human controls." title="Wellness My Thrive Mission Control"/>
            <wp:cNvGraphicFramePr>
              <a:graphicFrameLocks noChangeAspect="1"/>
            </wp:cNvGraphicFramePr>
            <a:graphic>
              <a:graphicData uri="http://schemas.openxmlformats.org/drawingml/2006/picture">
                <pic:pic>
                  <pic:nvPicPr>
                    <pic:cNvPr id="0" name="wellness-my-thrive-mission-control.png"/>
                    <pic:cNvPicPr/>
                  </pic:nvPicPr>
                  <pic:blipFill>
                    <a:blip r:embed="rId11"/>
                    <a:stretch>
                      <a:fillRect/>
                    </a:stretch>
                  </pic:blipFill>
                  <pic:spPr>
                    <a:xfrm>
                      <a:off x="0" y="0"/>
                      <a:ext cx="5925312" cy="3818534"/>
                    </a:xfrm>
                    <a:prstGeom prst="rect"/>
                  </pic:spPr>
                </pic:pic>
              </a:graphicData>
            </a:graphic>
          </wp:inline>
        </w:drawing>
      </w:r>
    </w:p>
    <w:p>
      <w:pPr>
        <w:spacing w:before="0" w:after="200"/>
        <w:jc w:val="center"/>
      </w:pPr>
      <w:r>
        <w:rPr>
          <w:rFonts w:ascii="Calibri" w:hAnsi="Calibri" w:eastAsia="Calibri"/>
          <w:i/>
          <w:color w:val="5F6B76"/>
          <w:sz w:val="18"/>
        </w:rPr>
        <w:t>My THRIVE Mission Control dashboard with four preview launchers, a seven-item focus queue, CLAIM–CHART–ALIGN–ORBIT gates, actions-Off status, agent P0 status and permanent human controls.</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Dashboard truth: </w:t>
      </w:r>
      <w:r>
        <w:rPr>
          <w:rFonts w:ascii="Calibri" w:hAnsi="Calibri" w:eastAsia="Calibri"/>
          <w:color w:val="1F2937"/>
          <w:sz w:val="22"/>
        </w:rPr>
        <w:t>A launcher is not an automation trigger. A metric, status or forecast is a view—not a claim approval, audience selection, send, booking, referral, employment decision, financial result or health outcome. Every consequential item shows source, owner, state, freshness, expiry and safe exit.</w:t>
      </w:r>
    </w:p>
    <w:p>
      <w:pPr>
        <w:pStyle w:val="Heading1"/>
        <w:keepNext/>
        <w:pageBreakBefore/>
      </w:pPr>
      <w:r>
        <w:t>Twenty-four optional SuperPowers — PWR-01 through PWR-12</w:t>
      </w:r>
    </w:p>
    <w:p>
      <w:pPr>
        <w:spacing w:before="0" w:after="240" w:line="288" w:lineRule="auto"/>
      </w:pPr>
      <w:r>
        <w:rPr>
          <w:rFonts w:ascii="Calibri" w:hAnsi="Calibri" w:eastAsia="Calibri"/>
          <w:b/>
          <w:color w:val="123047"/>
          <w:sz w:val="26"/>
        </w:rPr>
        <w:t>Every power installs Available Inactive. T builds truth and trust; H protects human-centered experience; R strengthens reach and reciprocal relationships.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050"/>
        <w:gridCol w:w="3630"/>
        <w:gridCol w:w="1050"/>
        <w:gridCol w:w="3630"/>
      </w:tblGrid>
      <w:tr>
        <w:trPr>
          <w:cantSplit/>
          <w:tblHeader w:val="true"/>
          <w:cantSplit/>
        </w:trPr>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SuperPower</w:t>
            </w:r>
          </w:p>
        </w:tc>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SuperPower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PWR-01 · T</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Mission, Wellness Promise &amp; Ethical Growth Compass</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PWR-07 · H</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Plain-Language, Human-Voice &amp; Anti-Slop Content Lab</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PWR-02 · T</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Evidence, Health-Claim &amp; Source Integrity Studio</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PWR-08 · H</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Experience Listening, Theme &amp; Improvement Navigator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PWR-03 · T</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Brand Trust, Reputation &amp; Issue-Response Navigator</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PWR-09 · R</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Community Relationship &amp; Trust-Building Planner</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PWR-04 · T</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Consent, Transparency &amp; Responsible Persuasion Designer</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PWR-10 · R</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Aggregate Audience Insight &amp; Ethical Segmentation Studio</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PWR-05 · H</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Human-Centered Wellness Service Journey Mapper</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PWR-11 · R</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Partnership, Referral-Network &amp; Co-Marketing Governance</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PWR-06 · H</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Accessibility, Language, Culture &amp; Inclusion Lens</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PWR-12 · R</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Event, Outreach &amp; Community Activation Planner</w:t>
            </w:r>
          </w:p>
        </w:tc>
      </w:tr>
    </w:tbl>
    <w:p>
      <w:pPr>
        <w:spacing w:before="0" w:after="40"/>
      </w:pPr>
    </w:p>
    <w:p>
      <w:pPr>
        <w:pStyle w:val="Heading2"/>
        <w:keepNext/>
      </w:pPr>
      <w:r>
        <w:t>What these powers give the user</w:t>
      </w:r>
    </w:p>
    <w:p>
      <w:pPr>
        <w:spacing w:before="0" w:after="80" w:line="300" w:lineRule="auto"/>
        <w:keepNext/>
        <w:keepLines/>
        <w:numPr>
          <w:ilvl w:val="0"/>
          <w:numId w:val="10"/>
        </w:numPr>
      </w:pPr>
      <w:r>
        <w:rPr>
          <w:rFonts w:ascii="Calibri" w:hAnsi="Calibri" w:eastAsia="Calibri"/>
          <w:color w:val="1F2937"/>
          <w:sz w:val="22"/>
        </w:rPr>
        <w:t>A mission, truthful wellness promise and ethical-growth compass that keeps organizational commitments separate from private aspirations.</w:t>
      </w:r>
    </w:p>
    <w:p>
      <w:pPr>
        <w:spacing w:before="0" w:after="80" w:line="300" w:lineRule="auto"/>
        <w:keepNext/>
        <w:keepLines/>
        <w:numPr>
          <w:ilvl w:val="0"/>
          <w:numId w:val="10"/>
        </w:numPr>
      </w:pPr>
      <w:r>
        <w:rPr>
          <w:rFonts w:ascii="Calibri" w:hAnsi="Calibri" w:eastAsia="Calibri"/>
          <w:color w:val="1F2937"/>
          <w:sz w:val="22"/>
        </w:rPr>
        <w:t>Claim-to-source integrity, trust-gap response preparation, clear consent/disclosure and responsible persuasion without unsupported outcomes or dark patterns.</w:t>
      </w:r>
    </w:p>
    <w:p>
      <w:pPr>
        <w:spacing w:before="0" w:after="80" w:line="300" w:lineRule="auto"/>
        <w:keepNext/>
        <w:keepLines/>
        <w:numPr>
          <w:ilvl w:val="0"/>
          <w:numId w:val="10"/>
        </w:numPr>
      </w:pPr>
      <w:r>
        <w:rPr>
          <w:rFonts w:ascii="Calibri" w:hAnsi="Calibri" w:eastAsia="Calibri"/>
          <w:color w:val="1F2937"/>
          <w:sz w:val="22"/>
        </w:rPr>
        <w:t>Accessible service-journey, language/culture, human-voice content and voluntary listening tools without individual tracking, invented stories or certification claims.</w:t>
      </w:r>
    </w:p>
    <w:p>
      <w:pPr>
        <w:spacing w:before="0" w:after="80" w:line="300" w:lineRule="auto"/>
        <w:keepLines/>
        <w:numPr>
          <w:ilvl w:val="0"/>
          <w:numId w:val="10"/>
        </w:numPr>
      </w:pPr>
      <w:r>
        <w:rPr>
          <w:rFonts w:ascii="Calibri" w:hAnsi="Calibri" w:eastAsia="Calibri"/>
          <w:color w:val="1F2937"/>
          <w:sz w:val="22"/>
        </w:rPr>
        <w:t>Community, audience, partner/referral and event planning with reciprocity, neutrality, rights and aggregate-only insight—never leads, outreach or hidden health inference.</w:t>
      </w:r>
    </w:p>
    <w:p>
      <w:pPr>
        <w:spacing w:before="120" w:after="200" w:line="276" w:lineRule="auto"/>
        <w:shd w:fill="E8F3F7"/>
        <w:pBdr>
          <w:left w:val="single" w:sz="18" w:space="8" w:color="176B87"/>
        </w:pBdr>
        <w:ind w:left="180" w:right="120"/>
      </w:pPr>
      <w:r>
        <w:rPr>
          <w:rFonts w:ascii="Calibri" w:hAnsi="Calibri" w:eastAsia="Calibri"/>
          <w:b/>
          <w:color w:val="123047"/>
          <w:sz w:val="22"/>
        </w:rPr>
        <w:t xml:space="preserve">Preview rule: </w:t>
      </w:r>
      <w:r>
        <w:rPr>
          <w:rFonts w:ascii="Calibri" w:hAnsi="Calibri" w:eastAsia="Calibri"/>
          <w:color w:val="1F2937"/>
          <w:sz w:val="22"/>
        </w:rPr>
        <w:t>A preview displays the exact input class, claim/source state, output, human owner, gates, prohibitions, expiry and safe exit. It does not activate a power, grant data access or perform an external action.</w:t>
      </w:r>
    </w:p>
    <w:p>
      <w:pPr>
        <w:pStyle w:val="Heading1"/>
        <w:keepNext/>
        <w:pageBreakBefore/>
      </w:pPr>
      <w:r>
        <w:t>Twenty-four optional SuperPowers — PWR-13 through PWR-24</w:t>
      </w:r>
    </w:p>
    <w:p>
      <w:pPr>
        <w:spacing w:before="0" w:after="240" w:line="288" w:lineRule="auto"/>
      </w:pPr>
      <w:r>
        <w:rPr>
          <w:rFonts w:ascii="Calibri" w:hAnsi="Calibri" w:eastAsia="Calibri"/>
          <w:b/>
          <w:color w:val="123047"/>
          <w:sz w:val="26"/>
        </w:rPr>
        <w:t>I integrates campaign and service operations; V makes value and viability assumptions visible; E governs ethics, evidence, privacy and optional agents.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050"/>
        <w:gridCol w:w="3630"/>
        <w:gridCol w:w="1050"/>
        <w:gridCol w:w="3630"/>
      </w:tblGrid>
      <w:tr>
        <w:trPr>
          <w:cantSplit/>
          <w:tblHeader w:val="true"/>
          <w:cantSplit/>
        </w:trPr>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SuperPower</w:t>
            </w:r>
          </w:p>
        </w:tc>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SuperPower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PWR-13 · I</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Integrated Campaign Strategy &amp; Human Approval Canvas</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PWR-19 · V</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Pricing, Promotion &amp; Offer Governance Studio</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PWR-14 · I</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Editorial, Content Operations &amp; Review-Orchestration Board</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PWR-20 · V</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Vendor, Marketing Technology &amp; Procurement Due-Diligence Studio</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PWR-15 · I</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Channel Experiment, Measurement &amp; Learning Lab</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PWR-21 · E</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Ethics, Evidence, Policy &amp; Source-Watch Navigator</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PWR-16 · I</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Demand-to-Service, Team Capacity, SOP &amp; Handoff Navigator</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PWR-22 · E</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Privacy, Security, Data-Flow &amp; Consumer-Trust Gate</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PWR-17 · V</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Wellness Service Portfolio &amp; Value-Proposition Architect</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PWR-23 · E</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Ethical AI Agent Charter, Permission &amp; Handoff Designer</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PWR-18 · V</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Budget, Forecast, Marketing-Mix &amp; Value Learning Studio</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PWR-24 · E</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Agent Evaluation, Incident, Kill &amp; Retirement Controller</w:t>
            </w:r>
          </w:p>
        </w:tc>
      </w:tr>
    </w:tbl>
    <w:p>
      <w:pPr>
        <w:spacing w:before="0" w:after="40"/>
      </w:pPr>
    </w:p>
    <w:p>
      <w:pPr>
        <w:pStyle w:val="Heading2"/>
        <w:keepNext/>
      </w:pPr>
      <w:r>
        <w:t>Activation discipline</w:t>
      </w:r>
    </w:p>
    <w:p>
      <w:pPr>
        <w:spacing w:before="0" w:after="80" w:line="300" w:lineRule="auto"/>
        <w:keepNext/>
        <w:keepLines/>
        <w:numPr>
          <w:ilvl w:val="0"/>
          <w:numId w:val="10"/>
        </w:numPr>
      </w:pPr>
      <w:r>
        <w:rPr>
          <w:rFonts w:ascii="Calibri" w:hAnsi="Calibri" w:eastAsia="Calibri"/>
          <w:color w:val="1F2937"/>
          <w:sz w:val="22"/>
        </w:rPr>
        <w:t>Begin with zero, one or two public/synthetic previews. Activating none is acceptable.</w:t>
      </w:r>
    </w:p>
    <w:p>
      <w:pPr>
        <w:spacing w:before="0" w:after="80" w:line="300" w:lineRule="auto"/>
        <w:keepNext/>
        <w:keepLines/>
        <w:numPr>
          <w:ilvl w:val="0"/>
          <w:numId w:val="10"/>
        </w:numPr>
      </w:pPr>
      <w:r>
        <w:rPr>
          <w:rFonts w:ascii="Calibri" w:hAnsi="Calibri" w:eastAsia="Calibri"/>
          <w:color w:val="1F2937"/>
          <w:sz w:val="22"/>
        </w:rPr>
        <w:t>Bind exact purpose, allowed input, output, claim/source/consent state, owner, reviewer, permission, time/cost limit, expiry, fallback and deletion rule.</w:t>
      </w:r>
    </w:p>
    <w:p>
      <w:pPr>
        <w:spacing w:before="0" w:after="80" w:line="300" w:lineRule="auto"/>
        <w:keepNext/>
        <w:keepLines/>
        <w:numPr>
          <w:ilvl w:val="0"/>
          <w:numId w:val="10"/>
        </w:numPr>
      </w:pPr>
      <w:r>
        <w:rPr>
          <w:rFonts w:ascii="Calibri" w:hAnsi="Calibri" w:eastAsia="Calibri"/>
          <w:color w:val="1F2937"/>
          <w:sz w:val="22"/>
        </w:rPr>
        <w:t>At finish, the power returns to Available Inactive; an optional agent returns to PERM-P0 Disabled unless separately reauthorized.</w:t>
      </w:r>
    </w:p>
    <w:p>
      <w:pPr>
        <w:spacing w:before="0" w:after="80" w:line="300" w:lineRule="auto"/>
        <w:keepLines/>
        <w:numPr>
          <w:ilvl w:val="0"/>
          <w:numId w:val="10"/>
        </w:numPr>
      </w:pPr>
      <w:r>
        <w:rPr>
          <w:rFonts w:ascii="Calibri" w:hAnsi="Calibri" w:eastAsia="Calibri"/>
          <w:color w:val="1F2937"/>
          <w:sz w:val="22"/>
        </w:rPr>
        <w:t>A material change in claim, audience, channel, service, data, model, vendor, integration, law or platform rule invalidates the prior receipt and triggers review.</w:t>
      </w:r>
    </w:p>
    <w:p>
      <w:pPr>
        <w:spacing w:before="120" w:after="200" w:line="276" w:lineRule="auto"/>
        <w:shd w:fill="F3EDF6"/>
        <w:pBdr>
          <w:left w:val="single" w:sz="18" w:space="8" w:color="67457A"/>
        </w:pBdr>
        <w:ind w:left="180" w:right="120"/>
      </w:pPr>
      <w:r>
        <w:rPr>
          <w:rFonts w:ascii="Calibri" w:hAnsi="Calibri" w:eastAsia="Calibri"/>
          <w:b/>
          <w:color w:val="123047"/>
          <w:sz w:val="22"/>
        </w:rPr>
        <w:t xml:space="preserve">Human Voice / Anti-Slop standard: </w:t>
      </w:r>
      <w:r>
        <w:rPr>
          <w:rFonts w:ascii="Calibri" w:hAnsi="Calibri" w:eastAsia="Calibri"/>
          <w:color w:val="1F2937"/>
          <w:sz w:val="22"/>
        </w:rPr>
        <w:t>Use concrete nouns and verbs; name owner, action, date, source, decision state and next human step. Preserve uncertainty, dissent, lived context, accessibility and limits. Remove generic uplift, formulaic three-part claims, repetitive headings, fake warmth or empathy, invented personalization, decorative jargon, meaningless metrics, false urgency and unverifiable superlatives. Never fabricate a customer, quote, review, credential or outcome.</w:t>
      </w:r>
    </w:p>
    <w:p>
      <w:pPr>
        <w:pStyle w:val="Heading1"/>
        <w:keepNext/>
        <w:pageBreakBefore/>
      </w:pPr>
      <w:r>
        <w:t>Before setup: prepare truth, not sensitive records</w:t>
      </w:r>
    </w:p>
    <w:p>
      <w:pPr>
        <w:keepNext/>
        <w:spacing w:before="0" w:after="80" w:line="300" w:lineRule="auto"/>
        <w:keepLines/>
        <w:numPr>
          <w:ilvl w:val="0"/>
          <w:numId w:val="12"/>
        </w:numPr>
      </w:pPr>
      <w:r>
        <w:rPr>
          <w:rFonts w:ascii="Calibri" w:hAnsi="Calibri" w:eastAsia="Calibri"/>
          <w:color w:val="1F2937"/>
          <w:sz w:val="22"/>
        </w:rPr>
        <w:t>Use a Hermes workspace you control and a new or technically verified-isolated THRIVE lane. Keep the complete installer unchanged.</w:t>
      </w:r>
    </w:p>
    <w:p>
      <w:pPr>
        <w:keepNext/>
        <w:spacing w:before="0" w:after="80" w:line="300" w:lineRule="auto"/>
        <w:keepLines/>
        <w:numPr>
          <w:ilvl w:val="0"/>
          <w:numId w:val="12"/>
        </w:numPr>
      </w:pPr>
      <w:r>
        <w:rPr>
          <w:rFonts w:ascii="Calibri" w:hAnsi="Calibri" w:eastAsia="Calibri"/>
          <w:color w:val="1F2937"/>
          <w:sz w:val="22"/>
        </w:rPr>
        <w:t>Prepare exact role, active hat, organization, approved service scope, operating context, jurisdiction, authority source/expiry and responsible human reviewers—or leave them visibly Unknown.</w:t>
      </w:r>
    </w:p>
    <w:p>
      <w:pPr>
        <w:keepNext/>
        <w:spacing w:before="0" w:after="80" w:line="300" w:lineRule="auto"/>
        <w:keepLines/>
        <w:numPr>
          <w:ilvl w:val="0"/>
          <w:numId w:val="12"/>
        </w:numPr>
      </w:pPr>
      <w:r>
        <w:rPr>
          <w:rFonts w:ascii="Calibri" w:hAnsi="Calibri" w:eastAsia="Calibri"/>
          <w:color w:val="1F2937"/>
          <w:sz w:val="22"/>
        </w:rPr>
        <w:t>Name human routes for claims, brand, service operations, clinical/regulatory scope, legal/compliance, privacy/security, accessibility/language, finance, HR, procurement, community relationships, incident response and external communications.</w:t>
      </w:r>
    </w:p>
    <w:p>
      <w:pPr>
        <w:keepNext/>
        <w:spacing w:before="0" w:after="80" w:line="300" w:lineRule="auto"/>
        <w:keepLines/>
        <w:numPr>
          <w:ilvl w:val="0"/>
          <w:numId w:val="12"/>
        </w:numPr>
      </w:pPr>
      <w:r>
        <w:rPr>
          <w:rFonts w:ascii="Calibri" w:hAnsi="Calibri" w:eastAsia="Calibri"/>
          <w:color w:val="1F2937"/>
          <w:sz w:val="22"/>
        </w:rPr>
        <w:t>Use Private mode unless the organization has approved the exact platform, vendor/model, purpose, aggregate/process data, partition, identity, logs, retention/deletion, incident route and owner.</w:t>
      </w:r>
    </w:p>
    <w:p>
      <w:pPr>
        <w:keepNext/>
        <w:spacing w:before="0" w:after="80" w:line="300" w:lineRule="auto"/>
        <w:keepLines/>
        <w:numPr>
          <w:ilvl w:val="0"/>
          <w:numId w:val="12"/>
        </w:numPr>
      </w:pPr>
      <w:r>
        <w:rPr>
          <w:rFonts w:ascii="Calibri" w:hAnsi="Calibri" w:eastAsia="Calibri"/>
          <w:color w:val="1F2937"/>
          <w:sz w:val="22"/>
        </w:rPr>
        <w:t>Do not paste PHI, patient/client records, employee records, consumer-sensitive data, lead/contact lists, device IDs, credentials, live campaign exports, vendor-confidential data, contracts or nonpublic financial information.</w:t>
      </w:r>
    </w:p>
    <w:p>
      <w:pPr>
        <w:spacing w:before="0" w:after="80" w:line="300" w:lineRule="auto"/>
        <w:keepLines/>
        <w:numPr>
          <w:ilvl w:val="0"/>
          <w:numId w:val="12"/>
        </w:numPr>
      </w:pPr>
      <w:r>
        <w:rPr>
          <w:rFonts w:ascii="Calibri" w:hAnsi="Calibri" w:eastAsia="Calibri"/>
          <w:color w:val="1F2937"/>
          <w:sz w:val="22"/>
        </w:rPr>
        <w:t>Choose accessibility/language preferences. Enable whole-life tools only with proven owner-only isolation from employer, campaign, parent-lane, analytics, model-training and agent access.</w:t>
      </w:r>
    </w:p>
    <w:p>
      <w:pPr>
        <w:pStyle w:val="Heading2"/>
        <w:keepNext/>
      </w:pPr>
      <w:r>
        <w:t>Give Hermes this one file</w:t>
      </w:r>
    </w:p>
    <w:p>
      <w:pPr>
        <w:keepLines/>
        <w:spacing w:before="100" w:after="160" w:line="264" w:lineRule="auto"/>
        <w:shd w:fill="E8F3F7"/>
        <w:pBdr>
          <w:left w:val="single" w:sz="18" w:space="8" w:color="176B87"/>
        </w:pBdr>
        <w:ind w:left="180" w:right="120"/>
      </w:pPr>
      <w:r>
        <w:rPr>
          <w:rFonts w:ascii="Calibri" w:hAnsi="Calibri" w:eastAsia="Calibri"/>
          <w:b/>
          <w:color w:val="123047"/>
          <w:sz w:val="18"/>
        </w:rPr>
        <w:t xml:space="preserve">Installation file: </w:t>
      </w:r>
      <w:r>
        <w:rPr>
          <w:rFonts w:ascii="Calibri" w:hAnsi="Calibri" w:eastAsia="Calibri"/>
          <w:color w:val="1F2937"/>
          <w:sz w:val="18"/>
        </w:rPr>
        <w:t>Wellness-Services-Marketer-and-Manager-Complete-AI-OS-with-THRIVE-SuperPowers-Hermes-Program.md</w:t>
      </w:r>
    </w:p>
    <w:p>
      <w:pPr>
        <w:spacing w:before="0" w:after="80" w:line="300" w:lineRule="auto"/>
        <w:keepNext/>
        <w:keepLines/>
        <w:numPr>
          <w:ilvl w:val="0"/>
          <w:numId w:val="10"/>
        </w:numPr>
      </w:pPr>
      <w:r>
        <w:rPr>
          <w:rFonts w:ascii="Calibri" w:hAnsi="Calibri" w:eastAsia="Calibri"/>
          <w:color w:val="1F2937"/>
          <w:sz w:val="22"/>
        </w:rPr>
        <w:t>Attach or paste the entire Complete Program Markdown file. Do not split, reorder, install the ZIP or source-pack folder, or omit component boundaries.</w:t>
      </w:r>
    </w:p>
    <w:p>
      <w:pPr>
        <w:spacing w:before="0" w:after="80" w:line="300" w:lineRule="auto"/>
        <w:keepNext/>
        <w:keepLines/>
        <w:numPr>
          <w:ilvl w:val="0"/>
          <w:numId w:val="10"/>
        </w:numPr>
      </w:pPr>
      <w:r>
        <w:rPr>
          <w:rFonts w:ascii="Calibri" w:hAnsi="Calibri" w:eastAsia="Calibri"/>
          <w:color w:val="1F2937"/>
          <w:sz w:val="22"/>
        </w:rPr>
        <w:t>Ask Hermes to use the Single installation prompt at the top and begin with read-only S0 preflight.</w:t>
      </w:r>
    </w:p>
    <w:p>
      <w:pPr>
        <w:spacing w:before="0" w:after="80" w:line="300" w:lineRule="auto"/>
        <w:keepLines/>
        <w:numPr>
          <w:ilvl w:val="0"/>
          <w:numId w:val="10"/>
        </w:numPr>
      </w:pPr>
      <w:r>
        <w:rPr>
          <w:rFonts w:ascii="Calibri" w:hAnsi="Calibri" w:eastAsia="Calibri"/>
          <w:color w:val="1F2937"/>
          <w:sz w:val="22"/>
        </w:rPr>
        <w:t>Review the displayed lane, route, namespace, counts, data ceiling, actions-Off list, duplicate-install result and safe exit before allowing persistent state.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Time warning: </w:t>
      </w:r>
      <w:r>
        <w:rPr>
          <w:rFonts w:ascii="Calibri" w:hAnsi="Calibri" w:eastAsia="Calibri"/>
          <w:color w:val="1F2937"/>
          <w:sz w:val="22"/>
        </w:rPr>
        <w:t>Installation may require multiple visible Hermes turns. Do not close an actively executing phase. Nothing installs or continues in the background; a partial dashboard, prose summary, S1 receipt or S2 receipt is not the Activation Report.</w:t>
      </w:r>
    </w:p>
    <w:p>
      <w:pPr>
        <w:pStyle w:val="Heading1"/>
        <w:keepNext/>
        <w:pageBreakBefore/>
      </w:pPr>
      <w:r>
        <w:t>Paste the authoritative one-file installation prompt</w:t>
      </w:r>
    </w:p>
    <w:p>
      <w:pPr>
        <w:spacing w:before="120" w:after="200" w:line="276" w:lineRule="auto"/>
        <w:shd w:fill="E8F4EE"/>
        <w:pBdr>
          <w:left w:val="single" w:sz="18" w:space="8" w:color="24705A"/>
        </w:pBdr>
        <w:ind w:left="180" w:right="120"/>
      </w:pPr>
      <w:r>
        <w:rPr>
          <w:rFonts w:ascii="Calibri" w:hAnsi="Calibri" w:eastAsia="Calibri"/>
          <w:b/>
          <w:color w:val="123047"/>
          <w:sz w:val="22"/>
        </w:rPr>
        <w:t xml:space="preserve">Use exactly: </w:t>
      </w:r>
      <w:r>
        <w:rPr>
          <w:rFonts w:ascii="Calibri" w:hAnsi="Calibri" w:eastAsia="Calibri"/>
          <w:color w:val="1F2937"/>
          <w:sz w:val="22"/>
        </w:rPr>
        <w:t>Copy this prompt from the canonical Markdown program. If its wording differs from an older guide, the current complete program controls.</w:t>
      </w:r>
    </w:p>
    <w:p>
      <w:pPr>
        <w:keepLines/>
        <w:spacing w:before="100" w:after="160" w:line="264" w:lineRule="auto"/>
        <w:shd w:fill="E8F3F7"/>
        <w:pBdr>
          <w:left w:val="single" w:sz="18" w:space="8" w:color="176B87"/>
        </w:pBdr>
        <w:ind w:left="180" w:right="120"/>
      </w:pPr>
      <w:r>
        <w:rPr>
          <w:rFonts w:ascii="Calibri" w:hAnsi="Calibri" w:eastAsia="Calibri"/>
          <w:b/>
          <w:color w:val="123047"/>
          <w:sz w:val="18"/>
        </w:rPr>
        <w:t xml:space="preserve">Installation prompt — part 1 of 2: </w:t>
      </w:r>
      <w:r>
        <w:rPr>
          <w:rFonts w:ascii="Calibri" w:hAnsi="Calibri" w:eastAsia="Calibri"/>
          <w:color w:val="1F2937"/>
          <w:sz w:val="18"/>
        </w:rPr>
        <w:t>Install this complete file as `WELLMKT-AIOS-THRIVE-COMPLETE-1.0` inside Nurse AI OS. Use the exact lane, route, namespace and 17 embedded components. Run S0, wait for my explicit confirmation, execute S1, stage the overlay, render and bind one canonical My THRIVE Mission Control at `/wellness-services-marketing-managers/dashboard` with `/wellness-services-marketing-managers/mission-control` as its lane-scoped alias, and only then execute S2 with Timestamped evidence.</w:t>
      </w:r>
    </w:p>
    <w:p>
      <w:pPr>
        <w:keepLines/>
        <w:spacing w:before="100" w:after="160" w:line="264" w:lineRule="auto"/>
        <w:shd w:fill="E8F3F7"/>
        <w:pBdr>
          <w:left w:val="single" w:sz="18" w:space="8" w:color="176B87"/>
        </w:pBdr>
        <w:ind w:left="180" w:right="120"/>
      </w:pPr>
      <w:r>
        <w:rPr>
          <w:rFonts w:ascii="Calibri" w:hAnsi="Calibri" w:eastAsia="Calibri"/>
          <w:b/>
          <w:color w:val="123047"/>
          <w:sz w:val="18"/>
        </w:rPr>
        <w:t xml:space="preserve">Installation prompt — part 2 of 2: </w:t>
      </w:r>
      <w:r>
        <w:rPr>
          <w:rFonts w:ascii="Calibri" w:hAnsi="Calibri" w:eastAsia="Calibri"/>
          <w:color w:val="1F2937"/>
          <w:sz w:val="18"/>
        </w:rPr>
        <w:t>Keep all 24 powers Available Inactive, all 10 agents PERM-P0 Disabled and every external action Off. Do not continue in the background. Stop and report any failed, blocked-without-expected-proof or unsupported critical criterion.</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Approval behavior: </w:t>
      </w:r>
      <w:r>
        <w:rPr>
          <w:rFonts w:ascii="Calibri" w:hAnsi="Calibri" w:eastAsia="Calibri"/>
          <w:color w:val="1F2937"/>
          <w:sz w:val="22"/>
        </w:rPr>
        <w:t>Hermes must stop for human decisions. Unknown authority or applicability may remain only when the affected function stays blocked. Do not approve any activation card that changes an external system, enables an agent, broadens data access or creates a send/spend/publish/booking/referral/transaction path.</w:t>
      </w:r>
    </w:p>
    <w:p>
      <w:pPr>
        <w:pStyle w:val="Heading1"/>
        <w:keepNext/>
        <w:pageBreakBefore/>
      </w:pPr>
      <w:r>
        <w:t>Phased installation, checkpoints and release states</w:t>
      </w:r>
    </w:p>
    <w:p>
      <w:pPr>
        <w:spacing w:before="120" w:after="80"/>
        <w:jc w:val="center"/>
      </w:pPr>
      <w:r>
        <w:drawing>
          <wp:inline xmlns:a="http://schemas.openxmlformats.org/drawingml/2006/main" xmlns:pic="http://schemas.openxmlformats.org/drawingml/2006/picture">
            <wp:extent cx="5925312" cy="2633472"/>
            <wp:docPr id="2" name="Picture 2" descr="THRIVE installation order: complete file and S0 preflight, S1 foundation, Phase 3 overlay staging without an S2 claim, Phase 4 Mission Control rendering and launcher binding, then S2 execution and a 160-criterion Activation Report." title="Wellness Thrive Complete Flow"/>
            <wp:cNvGraphicFramePr>
              <a:graphicFrameLocks noChangeAspect="1"/>
            </wp:cNvGraphicFramePr>
            <a:graphic>
              <a:graphicData uri="http://schemas.openxmlformats.org/drawingml/2006/picture">
                <pic:pic>
                  <pic:nvPicPr>
                    <pic:cNvPr id="0" name="wellness-thrive-complete-flow.png"/>
                    <pic:cNvPicPr/>
                  </pic:nvPicPr>
                  <pic:blipFill>
                    <a:blip r:embed="rId12"/>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THRIVE installation order: complete file and S0 preflight, S1 foundation, Phase 3 overlay staging without an S2 claim, Phase 4 Mission Control rendering and launcher binding, then S2 execution and a 160-criterion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5450"/>
        <w:gridCol w:w="261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Phase</w:t>
            </w:r>
          </w:p>
        </w:tc>
        <w:tc>
          <w:tcPr>
            <w:tcW w:type="dxa" w:w="5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What Hermes does</w:t>
            </w:r>
          </w:p>
        </w:tc>
        <w:tc>
          <w:tcPr>
            <w:tcW w:type="dxa" w:w="26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Required state or receipt</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0 — Orientation / S0</w:t>
            </w:r>
          </w:p>
        </w:tc>
        <w:tc>
          <w:tcPr>
            <w:tcW w:type="dxa" w:w="5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Read warning; inspect lane, route, namespace, collisions, capabilities, controls and existing state without mutation</w:t>
            </w:r>
          </w:p>
        </w:tc>
        <w:tc>
          <w:tcPr>
            <w:tcW w:type="dxa" w:w="2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No sensitive input; no persistent state; stop if isolation or authority is unproven</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1 — Integrity</w:t>
            </w:r>
          </w:p>
        </w:tc>
        <w:tc>
          <w:tcPr>
            <w:tcW w:type="dxa" w:w="5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Verify all 17 component boundaries and SHA-256 values; reject missing, duplicate, substituted or extra components</w:t>
            </w:r>
          </w:p>
        </w:tc>
        <w:tc>
          <w:tcPr>
            <w:tcW w:type="dxa" w:w="2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Exact inventory or INTEGRITY_BLOCKED</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2 — Foundation / S1</w:t>
            </w:r>
          </w:p>
        </w:tc>
        <w:tc>
          <w:tcPr>
            <w:tcW w:type="dxa" w:w="5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Bind foundation + four core components; establish isolation, active hat, data ceiling, action controls, recovery, dashboard contract; execute 40 criteria</w:t>
            </w:r>
          </w:p>
        </w:tc>
        <w:tc>
          <w:tcPr>
            <w:tcW w:type="dxa" w:w="2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S1 only with retrievable evidence; otherwise S1_BLOCKED</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3 — Overlay staging</w:t>
            </w:r>
          </w:p>
        </w:tc>
        <w:tc>
          <w:tcPr>
            <w:tcW w:type="dxa" w:w="5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Bind six pillars, workflows, recipes, 18 schemas, 24 inactive powers, 24 workflows, 30 templates and ten P0 agents</w:t>
            </w:r>
          </w:p>
        </w:tc>
        <w:tc>
          <w:tcPr>
            <w:tcW w:type="dxa" w:w="2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OVERLAY_STAGED_NOT_TESTED; no S2, route, launcher, fallback or accessibility evidence yet</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4 — Mission Control / S2</w:t>
            </w:r>
          </w:p>
        </w:tc>
        <w:tc>
          <w:tcPr>
            <w:tcW w:type="dxa" w:w="5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Render the lane dashboard + lane-scoped alias/fallback; bind Preview launchers; only then execute 104 domain + 16 integration criteria</w:t>
            </w:r>
          </w:p>
        </w:tc>
        <w:tc>
          <w:tcPr>
            <w:tcW w:type="dxa" w:w="2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S2 only with target-Hermes evidence; otherwise S2_BLOCKED or PARTIAL_QUARANTINED_NOT_ACTIVATED</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5 — Activation Report</w:t>
            </w:r>
          </w:p>
        </w:tc>
        <w:tc>
          <w:tcPr>
            <w:tcW w:type="dxa" w:w="5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Report 40 S1 + 120 S2 results, states, source unknowns, recovery/uninstall and a zero-activation first-week plan</w:t>
            </w:r>
          </w:p>
        </w:tc>
        <w:tc>
          <w:tcPr>
            <w:tcW w:type="dxa" w:w="2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READY_FOR_HUMAN_PREVIEW only after all 160 criteria execute at expected result</w:t>
            </w:r>
          </w:p>
        </w:tc>
      </w:tr>
    </w:tbl>
    <w:p>
      <w:pPr>
        <w:spacing w:before="0" w:after="40"/>
      </w:pPr>
    </w:p>
    <w:p>
      <w:pPr>
        <w:pStyle w:val="Heading1"/>
        <w:keepNext/>
        <w:pageBreakBefore/>
      </w:pPr>
      <w:r>
        <w:t>If interrupted: resume from evidence; never assume completion</w:t>
      </w:r>
    </w:p>
    <w:p>
      <w:pPr>
        <w:keepLines/>
        <w:spacing w:before="100" w:after="160" w:line="264" w:lineRule="auto"/>
        <w:shd w:fill="F2F4F7"/>
        <w:pBdr>
          <w:left w:val="single" w:sz="18" w:space="8" w:color="2E74B5"/>
        </w:pBdr>
        <w:ind w:left="180" w:right="120"/>
      </w:pPr>
      <w:r>
        <w:rPr>
          <w:rFonts w:ascii="Calibri" w:hAnsi="Calibri" w:eastAsia="Calibri"/>
          <w:b/>
          <w:color w:val="123047"/>
          <w:sz w:val="18"/>
        </w:rPr>
        <w:t xml:space="preserve">Exact resume command: </w:t>
      </w:r>
      <w:r>
        <w:rPr>
          <w:rFonts w:ascii="Calibri" w:hAnsi="Calibri" w:eastAsia="Calibri"/>
          <w:color w:val="1F2937"/>
          <w:sz w:val="18"/>
        </w:rPr>
        <w:t>RESUME THRIVE FROM LAST VERIFIED RECEIPT — DO NOT REPEAT PASSED PHASES, DO NOT CREATE A SECOND DASHBOARD, REPORT BEFORE/AFTER HASHES.</w:t>
      </w:r>
    </w:p>
    <w:p>
      <w:pPr>
        <w:keepLines/>
        <w:spacing w:before="100" w:after="160" w:line="264" w:lineRule="auto"/>
        <w:shd w:fill="E8F4EE"/>
        <w:pBdr>
          <w:left w:val="single" w:sz="18" w:space="8" w:color="24705A"/>
        </w:pBdr>
        <w:ind w:left="180" w:right="120"/>
      </w:pPr>
      <w:r>
        <w:rPr>
          <w:rFonts w:ascii="Calibri" w:hAnsi="Calibri" w:eastAsia="Calibri"/>
          <w:b/>
          <w:color w:val="123047"/>
          <w:sz w:val="18"/>
        </w:rPr>
        <w:t xml:space="preserve">Canonical recovery prompt: </w:t>
      </w:r>
      <w:r>
        <w:rPr>
          <w:rFonts w:ascii="Calibri" w:hAnsi="Calibri" w:eastAsia="Calibri"/>
          <w:color w:val="1F2937"/>
          <w:sz w:val="18"/>
        </w:rPr>
        <w:t>Report the exact last completed phase, criterion statuses, retrievable evidence, component/schema/dashboard hashes, files or state staged, blockers and other-lane isolation result. Do not claim background progress. Propose only safe resume, repair, rollback or THRIVE-only uninstall options. Wait for my choice before changing state.</w:t>
      </w:r>
    </w:p>
    <w:p>
      <w:pPr>
        <w:pStyle w:val="Heading2"/>
        <w:keepNext/>
      </w:pPr>
      <w:r>
        <w:t>Recovery and safe-exit controls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450"/>
        <w:gridCol w:w="5910"/>
      </w:tblGrid>
      <w:tr>
        <w:trPr>
          <w:cantSplit/>
          <w:tblHeader w:val="true"/>
          <w:cantSplit/>
        </w:trPr>
        <w:tc>
          <w:tcPr>
            <w:tcW w:type="dxa" w:w="3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Control / exact phrase</w:t>
            </w:r>
          </w:p>
        </w:tc>
        <w:tc>
          <w:tcPr>
            <w:tcW w:type="dxa" w:w="59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Required behavior</w:t>
            </w:r>
          </w:p>
        </w:tc>
      </w:tr>
      <w:tr>
        <w:trPr>
          <w:cantSplit/>
        </w:trPr>
        <w:tc>
          <w:tcPr>
            <w:tcW w:type="dxa" w:w="3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Report last completed phase + tamper-evident receipt</w:t>
            </w:r>
          </w:p>
        </w:tc>
        <w:tc>
          <w:tcPr>
            <w:tcW w:type="dxa" w:w="5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Show exact product/version, stage, hashes, states, completed/pending criteria, blockers and no-background-work confirmation before mutation.</w:t>
            </w:r>
          </w:p>
        </w:tc>
      </w:tr>
      <w:tr>
        <w:trPr>
          <w:cantSplit/>
        </w:trPr>
        <w:tc>
          <w:tcPr>
            <w:tcW w:type="dxa" w:w="3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RESUME THRIVE FROM LAST VERIFIED RECEIPT — DO NOT REPEAT PASSED PHASES, DO NOT CREATE A SECOND DASHBOARD, REPORT BEFORE/AFTER HASHES.</w:t>
            </w:r>
          </w:p>
        </w:tc>
        <w:tc>
          <w:tcPr>
            <w:tcW w:type="dxa" w:w="5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Revalidate identity, canonical dashboard and saved receipt; continue idempotently; never repeat passed phases or create a duplicate dashboard.</w:t>
            </w:r>
          </w:p>
        </w:tc>
      </w:tr>
      <w:tr>
        <w:trPr>
          <w:cantSplit/>
        </w:trPr>
        <w:tc>
          <w:tcPr>
            <w:tcW w:type="dxa" w:w="3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Pause</w:t>
            </w:r>
          </w:p>
        </w:tc>
        <w:tc>
          <w:tcPr>
            <w:tcW w:type="dxa" w:w="5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Stop proposed work and every agent; preserve a minimal readable receipt; do not imply that installation or a campaign continues.</w:t>
            </w:r>
          </w:p>
        </w:tc>
      </w:tr>
      <w:tr>
        <w:trPr>
          <w:cantSplit/>
        </w:trPr>
        <w:tc>
          <w:tcPr>
            <w:tcW w:type="dxa" w:w="3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Reset View</w:t>
            </w:r>
          </w:p>
        </w:tc>
        <w:tc>
          <w:tcPr>
            <w:tcW w:type="dxa" w:w="5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Change presentation only. Do not erase decisions, alter records, clear suppression/consent state or grant authority.</w:t>
            </w:r>
          </w:p>
        </w:tc>
      </w:tr>
      <w:tr>
        <w:trPr>
          <w:cantSplit/>
        </w:trPr>
        <w:tc>
          <w:tcPr>
            <w:tcW w:type="dxa" w:w="3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Repair</w:t>
            </w:r>
          </w:p>
        </w:tc>
        <w:tc>
          <w:tcPr>
            <w:tcW w:type="dxa" w:w="5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Verify the canonical 17 component hashes, one dashboard source of truth and affected runtime criteria; stage a reversible repair.</w:t>
            </w:r>
          </w:p>
        </w:tc>
      </w:tr>
      <w:tr>
        <w:trPr>
          <w:cantSplit/>
        </w:trPr>
        <w:tc>
          <w:tcPr>
            <w:tcW w:type="dxa" w:w="3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`FULL UNINSTALL THRIVE`. Preview the exact THRIVE-only deletion scope, optional explicitly approved nonsensitive export, other-lane preservation proof, personal-store handling, rollback limits and any authorized external legal/records hold. Wait for my second explicit confirmation. Purge eligible THRIVE state and return Timestamped export, deletion, purge and cross-lane-diff receipts. If a hold applies, return `UNINSTALL_INCOMPLETE_AUTHORIZED_HOLD` with exact retained refs, owner, authority/source, ACL and release condition; never claim total purge.</w:t>
            </w:r>
          </w:p>
        </w:tc>
        <w:tc>
          <w:tcPr>
            <w:tcW w:type="dxa" w:w="5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Preview the exact THRIVE-only deletion scope, optional approved nonsensitive export, other-lane preservation proof and rollback limits; wait for a second explicit confirmation.</w:t>
            </w:r>
          </w:p>
        </w:tc>
      </w:tr>
    </w:tbl>
    <w:p>
      <w:pPr>
        <w:spacing w:before="0" w:after="40"/>
      </w:pPr>
    </w:p>
    <w:p>
      <w:pPr>
        <w:spacing w:before="120" w:after="200" w:line="276" w:lineRule="auto"/>
        <w:shd w:fill="E8F4EE"/>
        <w:pBdr>
          <w:left w:val="single" w:sz="18" w:space="8" w:color="24705A"/>
        </w:pBdr>
        <w:ind w:left="180" w:right="120"/>
      </w:pPr>
      <w:r>
        <w:rPr>
          <w:rFonts w:ascii="Calibri" w:hAnsi="Calibri" w:eastAsia="Calibri"/>
          <w:b/>
          <w:color w:val="123047"/>
          <w:sz w:val="22"/>
        </w:rPr>
        <w:t xml:space="preserve">Resume rule: </w:t>
      </w:r>
      <w:r>
        <w:rPr>
          <w:rFonts w:ascii="Calibri" w:hAnsi="Calibri" w:eastAsia="Calibri"/>
          <w:color w:val="1F2937"/>
          <w:sz w:val="22"/>
        </w:rPr>
        <w:t>A saved receipt is evidence to revalidate—not permission to assume. If no checkpoint can be verified, Hermes performs read-only inventory and stops. A critical failed, blocked or unsupported result never converts to pass.</w:t>
      </w:r>
    </w:p>
    <w:p>
      <w:pPr>
        <w:pStyle w:val="Heading1"/>
        <w:keepNext/>
        <w:pageBreakBefore/>
      </w:pPr>
      <w:r>
        <w:t>First safe use: two previews, one expiring artifact, zero external action</w:t>
      </w:r>
    </w:p>
    <w:p>
      <w:pPr>
        <w:spacing w:before="0" w:after="240" w:line="288" w:lineRule="auto"/>
      </w:pPr>
      <w:r>
        <w:rPr>
          <w:rFonts w:ascii="Calibri" w:hAnsi="Calibri" w:eastAsia="Calibri"/>
          <w:b/>
          <w:color w:val="123047"/>
          <w:sz w:val="26"/>
        </w:rPr>
        <w:t>Begin only after a clean Activation Report. Use minimum operator metadata, public information, operator-owned nonsensitive facts or clearly synthetic examples.</w:t>
      </w:r>
    </w:p>
    <w:p>
      <w:pPr>
        <w:keepLines/>
        <w:spacing w:before="100" w:after="160" w:line="264" w:lineRule="auto"/>
        <w:shd w:fill="E8F5F3"/>
        <w:pBdr>
          <w:left w:val="single" w:sz="18" w:space="8" w:color="0B7A75"/>
        </w:pBdr>
        <w:ind w:left="180" w:right="120"/>
      </w:pPr>
      <w:r>
        <w:rPr>
          <w:rFonts w:ascii="Calibri" w:hAnsi="Calibri" w:eastAsia="Calibri"/>
          <w:b/>
          <w:color w:val="123047"/>
          <w:sz w:val="18"/>
        </w:rPr>
        <w:t xml:space="preserve">Ask Hermes: </w:t>
      </w:r>
      <w:r>
        <w:rPr>
          <w:rFonts w:ascii="Calibri" w:hAnsi="Calibri" w:eastAsia="Calibri"/>
          <w:color w:val="1F2937"/>
          <w:sz w:val="18"/>
        </w:rPr>
        <w:t>Preview PWR-01 and PWR-02 with fictional/public inputs only. Do not activate them. Show the linked workflows/templates, CLAIM/CHART gates, allowed inputs, human checkpoints, expiry and safe discard. Create no connector, person-level record or external action. Give me a day-7 retain/revise/pause/remove review card.</w:t>
      </w:r>
    </w:p>
    <w:p>
      <w:pPr>
        <w:pStyle w:val="Heading2"/>
        <w:keepNext/>
      </w:pPr>
      <w:r>
        <w:t>A good first ritual</w:t>
      </w:r>
    </w:p>
    <w:p>
      <w:pPr>
        <w:keepNext/>
        <w:spacing w:before="0" w:after="80" w:line="300" w:lineRule="auto"/>
        <w:keepLines/>
        <w:numPr>
          <w:ilvl w:val="0"/>
          <w:numId w:val="13"/>
        </w:numPr>
      </w:pPr>
      <w:r>
        <w:rPr>
          <w:rFonts w:ascii="Calibri" w:hAnsi="Calibri" w:eastAsia="Calibri"/>
          <w:color w:val="1F2937"/>
          <w:sz w:val="22"/>
        </w:rPr>
        <w:t>Verify the exact lane, dashboard route/alias, role and active hat, service scope, authority source/expiry, CLAIM/CHART state, sources and permanent controls.</w:t>
      </w:r>
    </w:p>
    <w:p>
      <w:pPr>
        <w:keepNext/>
        <w:spacing w:before="0" w:after="80" w:line="300" w:lineRule="auto"/>
        <w:keepLines/>
        <w:numPr>
          <w:ilvl w:val="0"/>
          <w:numId w:val="13"/>
        </w:numPr>
      </w:pPr>
      <w:r>
        <w:rPr>
          <w:rFonts w:ascii="Calibri" w:hAnsi="Calibri" w:eastAsia="Calibri"/>
          <w:color w:val="1F2937"/>
          <w:sz w:val="22"/>
        </w:rPr>
        <w:t>Confirm all 24 powers are Available Inactive, all ten agents PERM-P0 Disabled and send/spend/publish/booking/referral/transaction/write/connect controls Off.</w:t>
      </w:r>
    </w:p>
    <w:p>
      <w:pPr>
        <w:keepNext/>
        <w:spacing w:before="0" w:after="80" w:line="300" w:lineRule="auto"/>
        <w:keepLines/>
        <w:numPr>
          <w:ilvl w:val="0"/>
          <w:numId w:val="13"/>
        </w:numPr>
      </w:pPr>
      <w:r>
        <w:rPr>
          <w:rFonts w:ascii="Calibri" w:hAnsi="Calibri" w:eastAsia="Calibri"/>
          <w:color w:val="1F2937"/>
          <w:sz w:val="22"/>
        </w:rPr>
        <w:t>Preview PWR-01 plus PWR-02 for a synthetic claim or PWR-16 for an aggregate capacity/SOP question. Do not use a real person, client, contact or employee record.</w:t>
      </w:r>
    </w:p>
    <w:p>
      <w:pPr>
        <w:keepNext/>
        <w:spacing w:before="0" w:after="80" w:line="300" w:lineRule="auto"/>
        <w:keepLines/>
        <w:numPr>
          <w:ilvl w:val="0"/>
          <w:numId w:val="13"/>
        </w:numPr>
      </w:pPr>
      <w:r>
        <w:rPr>
          <w:rFonts w:ascii="Calibri" w:hAnsi="Calibri" w:eastAsia="Calibri"/>
          <w:color w:val="1F2937"/>
          <w:sz w:val="22"/>
        </w:rPr>
        <w:t>Create one labeled Proposed — Not Approved artifact with source, assumptions, owner, review route, expiry, correction, approved-export and delete controls.</w:t>
      </w:r>
    </w:p>
    <w:p>
      <w:pPr>
        <w:spacing w:before="0" w:after="80" w:line="300" w:lineRule="auto"/>
        <w:keepLines/>
        <w:numPr>
          <w:ilvl w:val="0"/>
          <w:numId w:val="13"/>
        </w:numPr>
      </w:pPr>
      <w:r>
        <w:rPr>
          <w:rFonts w:ascii="Calibri" w:hAnsi="Calibri" w:eastAsia="Calibri"/>
          <w:color w:val="1F2937"/>
          <w:sz w:val="22"/>
        </w:rPr>
        <w:t>Have the named human accept, revise, defer, reject or delete it; reconcile any official action only through the authorized person and system; confirm no background work remains.</w:t>
      </w:r>
    </w:p>
    <w:p>
      <w:pPr>
        <w:spacing w:before="120" w:after="200" w:line="276" w:lineRule="auto"/>
        <w:shd w:fill="E8F4EE"/>
        <w:pBdr>
          <w:left w:val="single" w:sz="18" w:space="8" w:color="24705A"/>
        </w:pBdr>
        <w:ind w:left="180" w:right="120"/>
      </w:pPr>
      <w:r>
        <w:rPr>
          <w:rFonts w:ascii="Calibri" w:hAnsi="Calibri" w:eastAsia="Calibri"/>
          <w:b/>
          <w:color w:val="123047"/>
          <w:sz w:val="22"/>
        </w:rPr>
        <w:t xml:space="preserve">Good first topics: </w:t>
      </w:r>
      <w:r>
        <w:rPr>
          <w:rFonts w:ascii="Calibri" w:hAnsi="Calibri" w:eastAsia="Calibri"/>
          <w:color w:val="1F2937"/>
          <w:sz w:val="22"/>
        </w:rPr>
        <w:t>A public source-freshness check; synthetic claim evidence card; accessible human-voice rewrite of approved facts; public partner-question list; aggregate service-capacity/SOP map; or an owner-only protected-life commitment in a proven isolated store.</w:t>
      </w:r>
    </w:p>
    <w:p>
      <w:pPr>
        <w:pStyle w:val="Heading1"/>
        <w:keepNext/>
        <w:pageBreakBefore/>
      </w:pPr>
      <w:r>
        <w:t>First agent: wings with a narrow charter and a real kill switch</w:t>
      </w:r>
    </w:p>
    <w:p>
      <w:pPr>
        <w:keepLines/>
        <w:spacing w:before="100" w:after="160" w:line="264" w:lineRule="auto"/>
        <w:shd w:fill="F3EDF6"/>
        <w:pBdr>
          <w:left w:val="single" w:sz="18" w:space="8" w:color="67457A"/>
        </w:pBdr>
        <w:ind w:left="180" w:right="120"/>
      </w:pPr>
      <w:r>
        <w:rPr>
          <w:rFonts w:ascii="Calibri" w:hAnsi="Calibri" w:eastAsia="Calibri"/>
          <w:b/>
          <w:color w:val="123047"/>
          <w:sz w:val="18"/>
        </w:rPr>
        <w:t xml:space="preserve">Preview—do not run: </w:t>
      </w:r>
      <w:r>
        <w:rPr>
          <w:rFonts w:ascii="Calibri" w:hAnsi="Calibri" w:eastAsia="Calibri"/>
          <w:color w:val="1F2937"/>
          <w:sz w:val="18"/>
        </w:rPr>
        <w:t>Keep AGT-01 PERM-P0 while you draft its ORBIT charter and versioned test plan. Allow only a frozen synthetic fixture and public canonical URLs; no institution data, connectors, credentials, browser session, external destination, write, send or publication. Run normal, stale-source, fabricated-citation, prompt-injection, cross-partition and kill/purge tests. Show all evidence. Propose—but do not grant—one expiring PERM-P2 read-only sandbox run for an independent named human decision.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3750"/>
        <w:gridCol w:w="441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Level</w:t>
            </w:r>
          </w:p>
        </w:tc>
        <w:tc>
          <w:tcPr>
            <w:tcW w:type="dxa" w:w="37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Meaning</w:t>
            </w:r>
          </w:p>
        </w:tc>
        <w:tc>
          <w:tcPr>
            <w:tcW w:type="dxa" w:w="44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THRIVE boundary</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PERM-P0</w:t>
            </w:r>
          </w:p>
        </w:tc>
        <w:tc>
          <w:tcPr>
            <w:tcW w:type="dxa" w:w="3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Disabled</w:t>
            </w:r>
          </w:p>
        </w:tc>
        <w:tc>
          <w:tcPr>
            <w:tcW w:type="dxa" w:w="4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Install and normal resting state; no execution</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PERM-P1</w:t>
            </w:r>
          </w:p>
        </w:tc>
        <w:tc>
          <w:tcPr>
            <w:tcW w:type="dxa" w:w="3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Synthetic preview</w:t>
            </w:r>
          </w:p>
        </w:tc>
        <w:tc>
          <w:tcPr>
            <w:tcW w:type="dxa" w:w="4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synthetic fixture only; no tools, sensitive data, persistence or action</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PERM-P2</w:t>
            </w:r>
          </w:p>
        </w:tc>
        <w:tc>
          <w:tcPr>
            <w:tcW w:type="dxa" w:w="3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read-only sandbox</w:t>
            </w:r>
          </w:p>
        </w:tc>
        <w:tc>
          <w:tcPr>
            <w:tcW w:type="dxa" w:w="4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exact approved public/operator-controlled source; one bounded draft; no share or write</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PERM-P3</w:t>
            </w:r>
          </w:p>
        </w:tc>
        <w:tc>
          <w:tcPr>
            <w:tcW w:type="dxa" w:w="3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Institution-approved read/sandbox</w:t>
            </w:r>
          </w:p>
        </w:tc>
        <w:tc>
          <w:tcPr>
            <w:tcW w:type="dxa" w:w="4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approved aggregate/process partition, purpose, owner and expiry</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PERM-P4 / P5</w:t>
            </w:r>
          </w:p>
        </w:tc>
        <w:tc>
          <w:tcPr>
            <w:tcW w:type="dxa" w:w="3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External/write or prohibited</w:t>
            </w:r>
          </w:p>
        </w:tc>
        <w:tc>
          <w:tcPr>
            <w:tcW w:type="dxa" w:w="4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Outside this product; cannot be inferred, installed, self-granted or delegated</w:t>
            </w:r>
          </w:p>
        </w:tc>
      </w:tr>
    </w:tbl>
    <w:p>
      <w:pPr>
        <w:spacing w:before="0" w:after="40"/>
      </w:pPr>
    </w:p>
    <w:p>
      <w:pPr>
        <w:keepNext/>
        <w:spacing w:before="0" w:after="80" w:line="300" w:lineRule="auto"/>
        <w:keepLines/>
        <w:numPr>
          <w:ilvl w:val="0"/>
          <w:numId w:val="14"/>
        </w:numPr>
      </w:pPr>
      <w:r>
        <w:rPr>
          <w:rFonts w:ascii="Calibri" w:hAnsi="Calibri" w:eastAsia="Calibri"/>
          <w:color w:val="1F2937"/>
          <w:sz w:val="22"/>
        </w:rPr>
        <w:t>Use PWR-23 to register one AI use case and compare a non-AI alternative.</w:t>
      </w:r>
    </w:p>
    <w:p>
      <w:pPr>
        <w:keepNext/>
        <w:spacing w:before="0" w:after="80" w:line="300" w:lineRule="auto"/>
        <w:keepLines/>
        <w:numPr>
          <w:ilvl w:val="0"/>
          <w:numId w:val="14"/>
        </w:numPr>
      </w:pPr>
      <w:r>
        <w:rPr>
          <w:rFonts w:ascii="Calibri" w:hAnsi="Calibri" w:eastAsia="Calibri"/>
          <w:color w:val="1F2937"/>
          <w:sz w:val="22"/>
        </w:rPr>
        <w:t>Freeze AGT-01 version, objective, owner, non-goals, rights risk, data/source/tool/destination limits, fixtures, checkpoints, expiry, kill, rollback, purge and retirement.</w:t>
      </w:r>
    </w:p>
    <w:p>
      <w:pPr>
        <w:keepNext/>
        <w:spacing w:before="0" w:after="80" w:line="300" w:lineRule="auto"/>
        <w:keepLines/>
        <w:numPr>
          <w:ilvl w:val="0"/>
          <w:numId w:val="14"/>
        </w:numPr>
      </w:pPr>
      <w:r>
        <w:rPr>
          <w:rFonts w:ascii="Calibri" w:hAnsi="Calibri" w:eastAsia="Calibri"/>
          <w:color w:val="1F2937"/>
          <w:sz w:val="22"/>
        </w:rPr>
        <w:t>Test normal, failure, bias, injection, security and recovery behavior with independent review. The agent's own narrative is not test evidence.</w:t>
      </w:r>
    </w:p>
    <w:p>
      <w:pPr>
        <w:spacing w:before="0" w:after="80" w:line="300" w:lineRule="auto"/>
        <w:keepLines/>
        <w:numPr>
          <w:ilvl w:val="0"/>
          <w:numId w:val="14"/>
        </w:numPr>
      </w:pPr>
      <w:r>
        <w:rPr>
          <w:rFonts w:ascii="Calibri" w:hAnsi="Calibri" w:eastAsia="Calibri"/>
          <w:color w:val="1F2937"/>
          <w:sz w:val="22"/>
        </w:rPr>
        <w:t>If separately authorized, permit at most one bounded read-only run; return to P0, inspect the PWR-24 receipt and retain, revise, kill or retire. Never begin with a multi-agent chain.</w:t>
      </w:r>
    </w:p>
    <w:p>
      <w:pPr>
        <w:pStyle w:val="Heading1"/>
        <w:keepNext/>
        <w:pageBreakBefore/>
      </w:pPr>
      <w:r>
        <w:t>Thirty cards and templates — working forms, not approvals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800"/>
        <w:gridCol w:w="3880"/>
        <w:gridCol w:w="800"/>
        <w:gridCol w:w="3880"/>
      </w:tblGrid>
      <w:tr>
        <w:trPr>
          <w:cantSplit/>
          <w:tblHeader w:val="true"/>
          <w:cantSplit/>
        </w:trPr>
        <w:tc>
          <w:tcPr>
            <w:tcW w:type="dxa" w:w="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ID</w:t>
            </w:r>
          </w:p>
        </w:tc>
        <w:tc>
          <w:tcPr>
            <w:tcW w:type="dxa" w:w="38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Template</w:t>
            </w:r>
          </w:p>
        </w:tc>
        <w:tc>
          <w:tcPr>
            <w:tcW w:type="dxa" w:w="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ID</w:t>
            </w:r>
          </w:p>
        </w:tc>
        <w:tc>
          <w:tcPr>
            <w:tcW w:type="dxa" w:w="38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Template</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TPL-01</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Personal Mission, Career &amp; Protected-Life Compass</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TPL-16</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Event, Outreach &amp; Community Activation Plan</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TPL-02</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Role, Organization, Service &amp; Delegated-Authority Card</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TPL-17</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ALIGN Campaign Strategy &amp; Release Canvas</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TPL-03</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Source, Claim &amp; Freshness Ledger</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TPL-18</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Editorial Calendar, Content Review &amp; Retirement Board</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TPL-04</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CHART Authority &amp; Action Gate Receipt</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TPL-19</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Channel Experiment &amp; Pre-Analysis Card</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TPL-05</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Mission, Wellness Promise &amp; Ethical Growth Compass</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TPL-20</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Demand-to-Service, Team Capacity, SOP &amp; Handoff Brief</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TPL-06</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Claim Evidence &amp; Safer-Language Card</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TPL-21</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Wellness Service Portfolio &amp; Value-Proposition Map</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TPL-07</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Brand Trust, Promise-Gap &amp; Issue Brief</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TPL-22</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Budget, Marketing-Mix &amp; Value-Learning Scenario</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TPL-08</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Consent, Disclosure, Testimonial &amp; AI Transparency Map</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TPL-23</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Pricing, Promotion, Package &amp; Disclosure Review</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TPL-09</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Aggregate Audience Insight &amp; Ethical Segment Card</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TPL-24</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Vendor, Marketing Technology &amp; Exit-Risk Matrix</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TPL-10</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Human-Centered Service Journey &amp; Friction Map</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TPL-25</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Team Capacity, SOP, Delegation &amp; Review Board</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TPL-11</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Accessibility, Language &amp; Cultural Respect Review</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TPL-26</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Privacy, Security, Data-Flow &amp; Consumer-Trust Intake</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TPL-12</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Human-Voice &amp; Anti-AI-Slop Content Brief</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TPL-27</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Source, Policy, Platform Rule &amp; Freshness Crosswalk</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TPL-13</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Aggregate Theme &amp; Feedback-Back Brief</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TPL-28</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ORBIT Agent Charter, Permission &amp; Human-Handoff Envelope</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TPL-14</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Community Relationship, Reciprocity &amp; Commitment Ledger</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TPL-29</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Agent Test, Run, Human Decision, Incident &amp; Retirement Receipt</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TPL-15</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Partner, Referral-Network &amp; Co-Marketing Due-Diligence Matrix</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TPL-30</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Seven-Day Launch &amp; Ninety-Day THRIVE Growth Plan</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Template rule: </w:t>
      </w:r>
      <w:r>
        <w:rPr>
          <w:rFonts w:ascii="Calibri" w:hAnsi="Calibri" w:eastAsia="Calibri"/>
          <w:color w:val="1F2937"/>
          <w:sz w:val="22"/>
        </w:rPr>
        <w:t>Each form carries owner, role/active hat, organization/service, allowed and prohibited data, audience/channel/context, source/version/status, claim/consent/rights state, facts versus interpretation, human decision owner, artifact state, creation/update/expiry, retention, correction, approved export and deletion. Unknown is safer than invented.</w:t>
      </w:r>
    </w:p>
    <w:p>
      <w:pPr>
        <w:pStyle w:val="Heading1"/>
        <w:keepNext/>
        <w:pageBreakBefore/>
      </w:pPr>
      <w:r>
        <w:t>Setting recipes — choose questions and views, never implied authority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4200"/>
        <w:gridCol w:w="326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Setting</w:t>
            </w:r>
          </w:p>
        </w:tc>
        <w:tc>
          <w:tcPr>
            <w:tcW w:type="dxa" w:w="4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Start with</w:t>
            </w:r>
          </w:p>
        </w:tc>
        <w:tc>
          <w:tcPr>
            <w:tcW w:type="dxa" w:w="3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Critical guardrail</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Hospital- or clinic-affiliated wellness</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Verify covered-entity/affiliate relationship, service/clinical boundaries, brand approval, aggregate capacity owner, referral neutrality, tracking review and official handoffs. Preview PWR-02, 05, 13, 16, 21, 22.</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No patient, referral, appointment, clinical or contact record enters THRIVE. HIPAA coverage and FTC obligations require exact actor/data analysis.</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Community / nonprofit / public benefit</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Lead with reciprocity, community-defined outcomes, accessibility, language access, non-extractive storytelling and partner authority. Preview PWR-01, 06, 09, 11, 12, 21.</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Do not turn participation into leads, endorsements or testimonials. Public/nonprofit status does not erase privacy, accessibility or advertising duties.</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Employer-sponsored wellness</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Keep employer, benefit, vendor and service roles explicit; use only approved coarse aggregates with suppression. Preview PWR-04, 08, 10, 17, 19, 22.</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No individual worker participation, health, incentive, absence, performance or insurance data; no eligibility, incentive or employment decision.</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Independent studio / coach network / small business</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Show credentials and clinical/nonclinical scope; separate service facts from outcomes; identify price/terms, privacy and claim reviewers. Preview PWR-01, 02, 07, 17–20.</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Booking, payment, contact and client records stay in approved official systems. A wellness label does not create a licensure or FDA exemption.</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Digital wellness service / app</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Begin with data-flow, tracking, consent, claim, accessibility, product-function, vendor and platform-rule review. Preview PWR-02, 04, 06, 15, 20–24.</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THRIVE installs no SDK, pixel, cookie, push, connector, ad audience or production API. General-wellness language is not a device-status decision.</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Multi-site / franchise / partner-delivered</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Separate central brand/service standards from local authority, claim, price, capacity, language and jurisdiction. Use immutable organization/site IDs. Preview PWR-03, 11, 13, 14, 16, 20.</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Never blend partitions or treat a central approval as local legal, professional-scope, service-capacity or offer approval.</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Recipe rule: </w:t>
      </w:r>
      <w:r>
        <w:rPr>
          <w:rFonts w:ascii="Calibri" w:hAnsi="Calibri" w:eastAsia="Calibri"/>
          <w:color w:val="1F2937"/>
          <w:sz w:val="22"/>
        </w:rPr>
        <w:t>A recipe selects preview questions and recommended powers. It does not confer authority, authorize data, activate a power or agent, approve a claim or service, prove legal applicability, launch a campaign or create an official record.</w:t>
      </w:r>
    </w:p>
    <w:p>
      <w:pPr>
        <w:pStyle w:val="Heading1"/>
        <w:keepNext/>
        <w:pageBreakBefore/>
      </w:pPr>
      <w:r>
        <w:t>Role, life and operating recipes — help the whole person lead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050"/>
        <w:gridCol w:w="4540"/>
        <w:gridCol w:w="2770"/>
      </w:tblGrid>
      <w:tr>
        <w:trPr>
          <w:cantSplit/>
          <w:tblHeader w:val="true"/>
          <w:cantSplit/>
        </w:trPr>
        <w:tc>
          <w:tcPr>
            <w:tcW w:type="dxa" w:w="2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Situation</w:t>
            </w:r>
          </w:p>
        </w:tc>
        <w:tc>
          <w:tcPr>
            <w:tcW w:type="dxa" w:w="45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THRIVE setup</w:t>
            </w:r>
          </w:p>
        </w:tc>
        <w:tc>
          <w:tcPr>
            <w:tcW w:type="dxa" w:w="277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Safe boundary</w:t>
            </w:r>
          </w:p>
        </w:tc>
      </w:tr>
      <w:tr>
        <w:trPr>
          <w:cantSplit/>
        </w:trPr>
        <w:tc>
          <w:tcPr>
            <w:tcW w:type="dxa" w:w="2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Marketing specialist / content lead</w:t>
            </w:r>
          </w:p>
        </w:tc>
        <w:tc>
          <w:tcPr>
            <w:tcW w:type="dxa" w:w="45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 PWR-02, 06, 07, 13–15 and TPL-03/06/11/12/17–19. Show the approved brief, exact claim blocks, reviewer routes and asset expiry.</w:t>
            </w:r>
          </w:p>
        </w:tc>
        <w:tc>
          <w:tcPr>
            <w:tcW w:type="dxa" w:w="27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Approval to draft is not approval to publish; audience, send, spend, tracking and channel actions stay Off.</w:t>
            </w:r>
          </w:p>
        </w:tc>
      </w:tr>
      <w:tr>
        <w:trPr>
          <w:cantSplit/>
        </w:trPr>
        <w:tc>
          <w:tcPr>
            <w:tcW w:type="dxa" w:w="2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Service / program manager</w:t>
            </w:r>
          </w:p>
        </w:tc>
        <w:tc>
          <w:tcPr>
            <w:tcW w:type="dxa" w:w="45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 PWR-01, 05, 08, 14, 16, 17 and TPL-02/10/13/18/20/25. Keep aggregate workload, RACI, SOP questions and service-capacity assumptions visible.</w:t>
            </w:r>
          </w:p>
        </w:tc>
        <w:tc>
          <w:tcPr>
            <w:tcW w:type="dxa" w:w="27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No employee profile, scheduling, performance score, safe-capacity declaration, client routing or booking.</w:t>
            </w:r>
          </w:p>
        </w:tc>
      </w:tr>
      <w:tr>
        <w:trPr>
          <w:cantSplit/>
        </w:trPr>
        <w:tc>
          <w:tcPr>
            <w:tcW w:type="dxa" w:w="2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Owner-manager</w:t>
            </w:r>
          </w:p>
        </w:tc>
        <w:tc>
          <w:tcPr>
            <w:tcW w:type="dxa" w:w="45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 Minimum Mode: one mission, one truthful offer, one aggregate service/capacity question, one value scenario, one source queue and one protected-life commitment.</w:t>
            </w:r>
          </w:p>
        </w:tc>
        <w:tc>
          <w:tcPr>
            <w:tcW w:type="dxa" w:w="27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Being owner does not create clinical scope, health-data permission, review authenticity, consent, trademark rights or platform/legal compliance.</w:t>
            </w:r>
          </w:p>
        </w:tc>
      </w:tr>
      <w:tr>
        <w:trPr>
          <w:cantSplit/>
        </w:trPr>
        <w:tc>
          <w:tcPr>
            <w:tcW w:type="dxa" w:w="2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Clinician-marketer / dual hat</w:t>
            </w:r>
          </w:p>
        </w:tc>
        <w:tc>
          <w:tcPr>
            <w:tcW w:type="dxa" w:w="45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Declare one active hat per artifact; use separate inputs/owners; rerun CHART after a hat change; route clinical claims and service boundaries to qualified reviewers.</w:t>
            </w:r>
          </w:p>
        </w:tc>
        <w:tc>
          <w:tcPr>
            <w:tcW w:type="dxa" w:w="27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Credential, employment, marketing authority, budget authority and professional scope remain distinct. No AI diagnosis or treatment advice.</w:t>
            </w:r>
          </w:p>
        </w:tc>
      </w:tr>
      <w:tr>
        <w:trPr>
          <w:cantSplit/>
        </w:trPr>
        <w:tc>
          <w:tcPr>
            <w:tcW w:type="dxa" w:w="2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Community / partnership lead</w:t>
            </w:r>
          </w:p>
        </w:tc>
        <w:tc>
          <w:tcPr>
            <w:tcW w:type="dxa" w:w="45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 PWR-09, 11, 12 and TPL-14–16 for reciprocity, authority, material connections, referral boundaries, accessibility, commitments and exit conditions.</w:t>
            </w:r>
          </w:p>
        </w:tc>
        <w:tc>
          <w:tcPr>
            <w:tcW w:type="dxa" w:w="27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No hidden lead exchange, compensated endorsement, coercive referral, identity inference or contact action.</w:t>
            </w:r>
          </w:p>
        </w:tc>
      </w:tr>
      <w:tr>
        <w:trPr>
          <w:cantSplit/>
        </w:trPr>
        <w:tc>
          <w:tcPr>
            <w:tcW w:type="dxa" w:w="2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Career and whole-life development</w:t>
            </w:r>
          </w:p>
        </w:tc>
        <w:tc>
          <w:tcPr>
            <w:tcW w:type="dxa" w:w="45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Learn, Govern &amp; Grow may open owner-only TPL-01 for mission, career, learning, relationships, community work, recovery and protected time. Minimum Mode shows no more than three priorities.</w:t>
            </w:r>
          </w:p>
        </w:tc>
        <w:tc>
          <w:tcPr>
            <w:tcW w:type="dxa" w:w="27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Private content never enters employer, campaign, parent-lane, team, analytics, model-training or agent stores. If technical isolation is unproven, skip it.</w:t>
            </w:r>
          </w:p>
        </w:tc>
      </w:tr>
    </w:tbl>
    <w:p>
      <w:pPr>
        <w:spacing w:before="0" w:after="40"/>
      </w:pPr>
    </w:p>
    <w:p>
      <w:pPr>
        <w:spacing w:before="120" w:after="200" w:line="276" w:lineRule="auto"/>
        <w:shd w:fill="F3EDF6"/>
        <w:pBdr>
          <w:left w:val="single" w:sz="18" w:space="8" w:color="67457A"/>
        </w:pBdr>
        <w:ind w:left="180" w:right="120"/>
      </w:pPr>
      <w:r>
        <w:rPr>
          <w:rFonts w:ascii="Calibri" w:hAnsi="Calibri" w:eastAsia="Calibri"/>
          <w:b/>
          <w:color w:val="123047"/>
          <w:sz w:val="22"/>
        </w:rPr>
        <w:t xml:space="preserve">A humane operating rule: </w:t>
      </w:r>
      <w:r>
        <w:rPr>
          <w:rFonts w:ascii="Calibri" w:hAnsi="Calibri" w:eastAsia="Calibri"/>
          <w:color w:val="1F2937"/>
          <w:sz w:val="22"/>
        </w:rPr>
        <w:t>THRIVE can help the user protect time, set a recovery boundary, plan learning and community contribution, and notice burden. It does not diagnose wellbeing, monitor a person, cancel commitments, contact others or share private aspirations without field-specific, revocable owner choice.</w:t>
      </w:r>
    </w:p>
    <w:p>
      <w:pPr>
        <w:pStyle w:val="Heading1"/>
        <w:keepNext/>
        <w:pageBreakBefore/>
      </w:pPr>
      <w:r>
        <w:t>Aggregate/process only — no shadow CRM, PHR, EHR or operational system</w:t>
      </w:r>
    </w:p>
    <w:p>
      <w:pPr>
        <w:spacing w:before="0" w:after="240" w:line="288" w:lineRule="auto"/>
      </w:pPr>
      <w:r>
        <w:rPr>
          <w:rFonts w:ascii="Calibri" w:hAnsi="Calibri" w:eastAsia="Calibri"/>
          <w:b/>
          <w:color w:val="123047"/>
          <w:sz w:val="26"/>
        </w:rPr>
        <w:t>The base Complete Edition stays aggregate- and process-level—even in an approved organizational workspace. Person-level marketing, health, workforce, booking, referral and transaction modules require a separately governed product and release suite.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4700"/>
        <w:gridCol w:w="4660"/>
      </w:tblGrid>
      <w:tr>
        <w:trPr>
          <w:cantSplit/>
          <w:tblHeader w:val="true"/>
          <w:cantSplit/>
        </w:trPr>
        <w:tc>
          <w:tcPr>
            <w:tcW w:type="dxa" w:w="4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THRIVE may prepare</w:t>
            </w:r>
          </w:p>
        </w:tc>
        <w:tc>
          <w:tcPr>
            <w:tcW w:type="dxa" w:w="46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THRIVE must not become</w:t>
            </w:r>
          </w:p>
        </w:tc>
      </w:tr>
      <w:tr>
        <w:trPr>
          <w:cantSplit/>
        </w:trPr>
        <w:tc>
          <w:tcPr>
            <w:tcW w:type="dxa" w:w="4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Approved aggregate audience, journey, content, campaign, experiment, demand, service/team-capacity, SOP, finance and experience questions</w:t>
            </w:r>
          </w:p>
        </w:tc>
        <w:tc>
          <w:tcPr>
            <w:tcW w:type="dxa" w:w="4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CRM, customer profile, lead list, CDP, ad audience, PHR/EHR, patient/client tracker, employee file, scheduler, referral queue, booking engine or finance ledger</w:t>
            </w:r>
          </w:p>
        </w:tc>
      </w:tr>
      <w:tr>
        <w:trPr>
          <w:cantSplit/>
        </w:trPr>
        <w:tc>
          <w:tcPr>
            <w:tcW w:type="dxa" w:w="4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Exact claim/source/consent/rights/tracker questions and human-review packets</w:t>
            </w:r>
          </w:p>
        </w:tc>
        <w:tc>
          <w:tcPr>
            <w:tcW w:type="dxa" w:w="4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Legal, clinical, FDA, privacy, accessibility, licensure, platform-policy or consent authority; review generator or suppression tool</w:t>
            </w:r>
          </w:p>
        </w:tc>
      </w:tr>
      <w:tr>
        <w:trPr>
          <w:cantSplit/>
        </w:trPr>
        <w:tc>
          <w:tcPr>
            <w:tcW w:type="dxa" w:w="4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Public/synthetic scenario, accessible draft, process map and nonbinding decision option</w:t>
            </w:r>
          </w:p>
        </w:tc>
        <w:tc>
          <w:tcPr>
            <w:tcW w:type="dxa" w:w="4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Automated send, publish, ad launch, tracking installation, spend, contact, booking, referral, charge, refund, contract, price activation, employment action or clinical advice</w:t>
            </w:r>
          </w:p>
        </w:tc>
      </w:tr>
      <w:tr>
        <w:trPr>
          <w:cantSplit/>
        </w:trPr>
        <w:tc>
          <w:tcPr>
            <w:tcW w:type="dxa" w:w="4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Personally controlled whole-life plan in a proven isolated store</w:t>
            </w:r>
          </w:p>
        </w:tc>
        <w:tc>
          <w:tcPr>
            <w:tcW w:type="dxa" w:w="4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Employer wellbeing score, productivity profile, diagnosis, benefits/insurance input, campaign personalization signal or training dataset</w:t>
            </w:r>
          </w:p>
        </w:tc>
      </w:tr>
    </w:tbl>
    <w:p>
      <w:pPr>
        <w:spacing w:before="0" w:after="40"/>
      </w:pPr>
    </w:p>
    <w:p>
      <w:pPr>
        <w:pStyle w:val="Heading2"/>
        <w:keepNext/>
      </w:pPr>
      <w:r>
        <w:t>Base THRIVE rejects</w:t>
      </w:r>
    </w:p>
    <w:p>
      <w:pPr>
        <w:spacing w:before="0" w:after="80" w:line="300" w:lineRule="auto"/>
        <w:keepNext/>
        <w:keepLines/>
        <w:numPr>
          <w:ilvl w:val="0"/>
          <w:numId w:val="10"/>
        </w:numPr>
      </w:pPr>
      <w:r>
        <w:rPr>
          <w:rFonts w:ascii="Calibri" w:hAnsi="Calibri" w:eastAsia="Calibri"/>
          <w:color w:val="1F2937"/>
          <w:sz w:val="22"/>
        </w:rPr>
        <w:t>PHI, patient/client records, diagnoses, appointment/referral data, consumer-sensitive data or health inferences; real contact/lead lists, device IDs or cross-context ad identifiers.</w:t>
      </w:r>
    </w:p>
    <w:p>
      <w:pPr>
        <w:spacing w:before="0" w:after="80" w:line="300" w:lineRule="auto"/>
        <w:keepNext/>
        <w:keepLines/>
        <w:numPr>
          <w:ilvl w:val="0"/>
          <w:numId w:val="10"/>
        </w:numPr>
      </w:pPr>
      <w:r>
        <w:rPr>
          <w:rFonts w:ascii="Calibri" w:hAnsi="Calibri" w:eastAsia="Calibri"/>
          <w:color w:val="1F2937"/>
          <w:sz w:val="22"/>
        </w:rPr>
        <w:t>Individual employee/applicant/contractor data, participation, performance, sentiment or health information; hidden scoring, surveillance, protected-class inference or retaliation prediction.</w:t>
      </w:r>
    </w:p>
    <w:p>
      <w:pPr>
        <w:spacing w:before="0" w:after="80" w:line="300" w:lineRule="auto"/>
        <w:keepNext/>
        <w:keepLines/>
        <w:numPr>
          <w:ilvl w:val="0"/>
          <w:numId w:val="10"/>
        </w:numPr>
      </w:pPr>
      <w:r>
        <w:rPr>
          <w:rFonts w:ascii="Calibri" w:hAnsi="Calibri" w:eastAsia="Calibri"/>
          <w:color w:val="1F2937"/>
          <w:sz w:val="22"/>
        </w:rPr>
        <w:t>Unapproved pixels, SDKs, cookies, session replay, chat widgets, audiences, connectors, credentials, contracts, security details, vendor-confidential data or nonpublic finance records.</w:t>
      </w:r>
    </w:p>
    <w:p>
      <w:pPr>
        <w:spacing w:before="0" w:after="80" w:line="300" w:lineRule="auto"/>
        <w:keepLines/>
        <w:numPr>
          <w:ilvl w:val="0"/>
          <w:numId w:val="10"/>
        </w:numPr>
      </w:pPr>
      <w:r>
        <w:rPr>
          <w:rFonts w:ascii="Calibri" w:hAnsi="Calibri" w:eastAsia="Calibri"/>
          <w:color w:val="1F2937"/>
          <w:sz w:val="22"/>
        </w:rPr>
        <w:t>Self-redacted real records presented as anonymous/de-identified; removing names alone does not prove HIPAA de-identification or satisfy other privacy law.</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Record truth: </w:t>
      </w:r>
      <w:r>
        <w:rPr>
          <w:rFonts w:ascii="Calibri" w:hAnsi="Calibri" w:eastAsia="Calibri"/>
          <w:color w:val="1F2937"/>
          <w:sz w:val="22"/>
        </w:rPr>
        <w:t>A polished draft is not an official record. A dashboard status is not consent, approval, human acknowledgment or reconciliation. Approved systems of record remain authoritative; THRIVE reads or writes nothing by default.</w:t>
      </w:r>
    </w:p>
    <w:p>
      <w:pPr>
        <w:pStyle w:val="Heading1"/>
        <w:keepNext/>
        <w:pageBreakBefore/>
      </w:pPr>
      <w:r>
        <w:t>Source Watch — advertising, reviews, consent, tracking and subscriptions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00"/>
        <w:gridCol w:w="3430"/>
        <w:gridCol w:w="3430"/>
      </w:tblGrid>
      <w:tr>
        <w:trPr>
          <w:cantSplit/>
          <w:tblHeader w:val="true"/>
          <w:cantSplit/>
        </w:trPr>
        <w:tc>
          <w:tcPr>
            <w:tcW w:type="dxa" w:w="2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4"/>
              </w:rPr>
              <w:t>Official source / current status</w:t>
            </w:r>
          </w:p>
        </w:tc>
        <w:tc>
          <w:tcPr>
            <w:tcW w:type="dxa" w:w="34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4"/>
              </w:rPr>
              <w:t>Use in THRIVE</w:t>
            </w:r>
          </w:p>
        </w:tc>
        <w:tc>
          <w:tcPr>
            <w:tcW w:type="dxa" w:w="34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4"/>
              </w:rPr>
              <w:t>Current caution</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FTC Health Products Compliance Guidance — Dec. 2022 guidance</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Gate express/implied claims, net impression, prior substantiation, evidence fit and clear disclosures.</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Guidance, not a safe harbor. Disclosures, testimonials or guarantees cannot cure a deceptive impression or replace evidence.</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FTC 16 CFR Parts 255 and 465 — endorsements guides + binding reviews rule</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Verify genuine experience, material connections, permissions and disclosure; block fake/false reviews, AI personas, conditioned sentiment, insider deception, suppression and fake influence.</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Part 255 is guidance; Part 465 is a current rule. Never generate a composite or representative customer presented as real.</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FTC/FCC outreach: CAN-SPAM, TSR and 47 CFR §64.1200</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Keep channel/purpose/seller-specific consent proof, approved sender, suppression, revocation, disclosure, frequency and human release.</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FCC consent/revocation provisions are litigated and fact-specific. Do not encode a superseded one-to-one summary; the healthcare-message exemption is nonmarketing.</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ROSCA + FTC Negative Option Rule page / 16 CFR Part 425</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For recurring offers, show material terms before billing, express informed consent, simple stop mechanism, state-law matrix and versioned offer/cancellation proof.</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The 2024 federal click-to-cancel revisions were vacated and removed in Feb. 2026; a Mar. 2026 ANPRM is not law. Current Part 425 is narrower.</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FTC Act + Health Breach Notification Rule, 16 CFR Part 318</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Map health-adjacent data and inferences, actors, purposes, recipients, retention, authorization, incident ownership and notification pathways.</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HIPAA status is not an enterprise-wide shield; FTC law can apply outside HIPAA. Unauthorized disclosure may be a breach.</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HHS OCR online tracking guidance — litigated</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Inventory every pixel, SDK, session replay, chat, form and destination; scrutinize authenticated, scheduling and symptom flows.</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A June 20, 2024 court order limited the guidance's automatic treatment of IP + unauthenticated page visits. Neither ‘all IP is PHI’ nor ‘public pages are exempt’ is safe.</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FDA General Wellness final guidance — Jan. 2026</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Run intended-use/function review for apps, wearables, assessments and recommendations; verify exact product status and claim.</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A wellness label, disclaimer or human reviewer does not remove FDA jurisdiction. Guidance is not clearance and does not cover every product category.</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COPPA 16 CFR Part 312 — 2025 amendments, principal compliance Apr. 22, 2026</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If under-13-directed or actual knowledge applies, gate notices, verifiable parental consent, third-party disclosure, minimization, security, retention and deletion.</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4"/>
              </w:rPr>
              <w:t>COPPA is not a blanket teen-privacy framework. Unknown age/audience blocks tracking and targeted campaign activation; state laws may be broader.</w:t>
            </w:r>
          </w:p>
        </w:tc>
      </w:tr>
    </w:tbl>
    <w:p>
      <w:pPr>
        <w:spacing w:before="0" w:after="40"/>
      </w:pPr>
    </w:p>
    <w:p>
      <w:pPr>
        <w:spacing w:before="120" w:after="200" w:line="276" w:lineRule="auto"/>
        <w:shd w:fill="E8F4EE"/>
        <w:pBdr>
          <w:left w:val="single" w:sz="18" w:space="8" w:color="24705A"/>
        </w:pBdr>
        <w:ind w:left="180" w:right="120"/>
      </w:pPr>
      <w:r>
        <w:rPr>
          <w:rFonts w:ascii="Calibri" w:hAnsi="Calibri" w:eastAsia="Calibri"/>
          <w:b/>
          <w:color w:val="123047"/>
          <w:sz w:val="22"/>
        </w:rPr>
        <w:t xml:space="preserve">Accessibility and language: </w:t>
      </w:r>
      <w:r>
        <w:rPr>
          <w:rFonts w:ascii="Calibri" w:hAnsi="Calibri" w:eastAsia="Calibri"/>
          <w:color w:val="1F2937"/>
          <w:sz w:val="22"/>
        </w:rPr>
        <w:t>Build to WCAG 2.2 AA as a forward-looking product target. For covered HHS funding recipients, current §84.84 uses WCAG 2.1 A/AA with amended dates of May 11, 2027 (15+ employees) and May 10, 2028 (smaller recipients). Automated scans alone do not prove access. Covered critical/complex machine translation requires qualified human review.</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Source rule: </w:t>
      </w:r>
      <w:r>
        <w:rPr>
          <w:rFonts w:ascii="Calibri" w:hAnsi="Calibri" w:eastAsia="Calibri"/>
          <w:color w:val="1F2937"/>
          <w:sz w:val="22"/>
        </w:rPr>
        <w:t>Record canonical title/URL, authority, jurisdiction, binding/guidance/proposed/vacated/litigated status, publication/effective/compliance dates, version, retrieved date, applicability owner, conflicts, expiry and pack clauses using it. Unknown or stale blocks release; THRIVE is not endorsed by any source.</w:t>
      </w:r>
    </w:p>
    <w:p>
      <w:pPr>
        <w:pStyle w:val="Heading1"/>
        <w:keepNext/>
        <w:pageBreakBefore/>
      </w:pPr>
      <w:r>
        <w:t>Release assurance — structural checks are not runtime proof</w:t>
      </w:r>
    </w:p>
    <w:p>
      <w:pPr>
        <w:spacing w:before="0" w:after="240" w:line="288" w:lineRule="auto"/>
      </w:pPr>
      <w:r>
        <w:rPr>
          <w:rFonts w:ascii="Calibri" w:hAnsi="Calibri" w:eastAsia="Calibri"/>
          <w:b/>
          <w:color w:val="123047"/>
          <w:sz w:val="26"/>
        </w:rPr>
        <w:t>The downloadable package and the installed Hermes environment require different evidence. Passing the package validator does not prove runtime isolation, permissions, accessibility, action denial, recovery or uninstall.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00"/>
        <w:gridCol w:w="3650"/>
        <w:gridCol w:w="3510"/>
      </w:tblGrid>
      <w:tr>
        <w:trPr>
          <w:cantSplit/>
          <w:tblHeader w:val="true"/>
          <w:cantSplit/>
        </w:trPr>
        <w:tc>
          <w:tcPr>
            <w:tcW w:type="dxa" w:w="2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Evidence layer</w:t>
            </w:r>
          </w:p>
        </w:tc>
        <w:tc>
          <w:tcPr>
            <w:tcW w:type="dxa" w:w="36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What it can prove</w:t>
            </w:r>
          </w:p>
        </w:tc>
        <w:tc>
          <w:tcPr>
            <w:tcW w:type="dxa" w:w="35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What it cannot prove</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Artifact structural validation</w:t>
            </w:r>
          </w:p>
        </w:tc>
        <w:tc>
          <w:tcPr>
            <w:tcW w:type="dxa" w:w="36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Expected files, IDs, counts, component hashes, exact embedding, links, closed schema references, tests and parseable structure</w:t>
            </w:r>
          </w:p>
        </w:tc>
        <w:tc>
          <w:tcPr>
            <w:tcW w:type="dxa" w:w="3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Runtime isolation, permission enforcement, action denial, installed-dashboard accessibility, source applicability, pause/kill/rollback/purge or uninstall</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160 runtime criteria</w:t>
            </w:r>
          </w:p>
        </w:tc>
        <w:tc>
          <w:tcPr>
            <w:tcW w:type="dxa" w:w="36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Observed behavior in the target Hermes adapter/version using versioned fixtures, state probes, exact evidence references and independent review</w:t>
            </w:r>
          </w:p>
        </w:tc>
        <w:tc>
          <w:tcPr>
            <w:tcW w:type="dxa" w:w="3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Organizational approval, legal compliance, claim substantiation, clinical safety, platform acceptance, commercial outcomes or guaranteed fitness</w:t>
            </w:r>
          </w:p>
        </w:tc>
      </w:tr>
    </w:tbl>
    <w:p>
      <w:pPr>
        <w:spacing w:before="0" w:after="40"/>
      </w:pPr>
    </w:p>
    <w:p>
      <w:pPr>
        <w:pStyle w:val="Heading2"/>
        <w:keepNext/>
      </w:pPr>
      <w:r>
        <w:t>Required runtime status distinctions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450"/>
        <w:gridCol w:w="4850"/>
        <w:gridCol w:w="3060"/>
      </w:tblGrid>
      <w:tr>
        <w:trPr>
          <w:cantSplit/>
          <w:tblHeader w:val="true"/>
          <w:cantSplit/>
        </w:trPr>
        <w:tc>
          <w:tcPr>
            <w:tcW w:type="dxa" w:w="1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Status</w:t>
            </w:r>
          </w:p>
        </w:tc>
        <w:tc>
          <w:tcPr>
            <w:tcW w:type="dxa" w:w="4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Meaning</w:t>
            </w:r>
          </w:p>
        </w:tc>
        <w:tc>
          <w:tcPr>
            <w:tcW w:type="dxa" w:w="3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Release effect</w:t>
            </w:r>
          </w:p>
        </w:tc>
      </w:tr>
      <w:tr>
        <w:trPr>
          <w:cantSplit/>
        </w:trPr>
        <w:tc>
          <w:tcPr>
            <w:tcW w:type="dxa" w:w="1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specified</w:t>
            </w:r>
          </w:p>
        </w:tc>
        <w:tc>
          <w:tcPr>
            <w:tcW w:type="dxa" w:w="4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Criterion, method, fixture and expected evidence are defined; it has not run.</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Not a pass</w:t>
            </w:r>
          </w:p>
        </w:tc>
      </w:tr>
      <w:tr>
        <w:trPr>
          <w:cantSplit/>
        </w:trPr>
        <w:tc>
          <w:tcPr>
            <w:tcW w:type="dxa" w:w="1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executed</w:t>
            </w:r>
          </w:p>
        </w:tc>
        <w:tc>
          <w:tcPr>
            <w:tcW w:type="dxa" w:w="4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The method ran and evidence was captured; result still needs disposition.</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Not automatically a pass</w:t>
            </w:r>
          </w:p>
        </w:tc>
      </w:tr>
      <w:tr>
        <w:trPr>
          <w:cantSplit/>
        </w:trPr>
        <w:tc>
          <w:tcPr>
            <w:tcW w:type="dxa" w:w="1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passed</w:t>
            </w:r>
          </w:p>
        </w:tc>
        <w:tc>
          <w:tcPr>
            <w:tcW w:type="dxa" w:w="4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Observed evidence met the criterion and independent-review requirement.</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Counts only for the tested adapter/version</w:t>
            </w:r>
          </w:p>
        </w:tc>
      </w:tr>
      <w:tr>
        <w:trPr>
          <w:cantSplit/>
        </w:trPr>
        <w:tc>
          <w:tcPr>
            <w:tcW w:type="dxa" w:w="1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failed</w:t>
            </w:r>
          </w:p>
        </w:tc>
        <w:tc>
          <w:tcPr>
            <w:tcW w:type="dxa" w:w="4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Observed evidence did not meet the criterion.</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Critical failure blocks preview readiness</w:t>
            </w:r>
          </w:p>
        </w:tc>
      </w:tr>
      <w:tr>
        <w:trPr>
          <w:cantSplit/>
        </w:trPr>
        <w:tc>
          <w:tcPr>
            <w:tcW w:type="dxa" w:w="1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blocked</w:t>
            </w:r>
          </w:p>
        </w:tc>
        <w:tc>
          <w:tcPr>
            <w:tcW w:type="dxa" w:w="4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Dependency, permission, environment or evidence gap prevented completion.</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Critical block without expected proof blocks readiness</w:t>
            </w:r>
          </w:p>
        </w:tc>
      </w:tr>
      <w:tr>
        <w:trPr>
          <w:cantSplit/>
        </w:trPr>
        <w:tc>
          <w:tcPr>
            <w:tcW w:type="dxa" w:w="1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unsupported</w:t>
            </w:r>
          </w:p>
        </w:tc>
        <w:tc>
          <w:tcPr>
            <w:tcW w:type="dxa" w:w="4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The target cannot perform the required probe or control.</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Never converts to pass; critical unsupported blocks readiness</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Runtime evidence rule: </w:t>
      </w:r>
      <w:r>
        <w:rPr>
          <w:rFonts w:ascii="Calibri" w:hAnsi="Calibri" w:eastAsia="Calibri"/>
          <w:color w:val="1F2937"/>
          <w:sz w:val="22"/>
        </w:rPr>
        <w:t>Each criterion records ID, assertion, exact method, adapter/environment/version, fixture/input IDs, expected and observed result, evidence reference, tester, independent reviewer, timestamp, status, severity, remediation owner, retest and receipt. Model narrative and the tested agent's self-attestation are not evidence.</w:t>
      </w:r>
    </w:p>
    <w:p>
      <w:pPr>
        <w:pStyle w:val="Heading1"/>
        <w:keepNext/>
        <w:pageBreakBefore/>
      </w:pPr>
      <w:r>
        <w:t>Seven-, thirty- and ninety-day adoption — help the user THRIVE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5160"/>
        <w:gridCol w:w="300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Time</w:t>
            </w:r>
          </w:p>
        </w:tc>
        <w:tc>
          <w:tcPr>
            <w:tcW w:type="dxa" w:w="5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Human-owned goal</w:t>
            </w:r>
          </w:p>
        </w:tc>
        <w:tc>
          <w:tcPr>
            <w:tcW w:type="dxa" w:w="3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Evidence to keep</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 1</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Verify isolation, role/active hat, service scope, actions-Off controls, source watch and dashboard; preview PWR-01 + PWR-02 only with fictional/public inputs.</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S0/S1/S2 + Activation Report; first-use receipt</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 2</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Define one personal mission, one organizational promise, one protected-life boundary, one non-goal and one authority question.</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TPL-01/02/05; owner, sharing state, expiry/delete date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 3</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Create one source/claim ledger and safer-language card; preserve exact wording, audience, evidence limits and reviewer.</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TPL-03/06; source versions and CLAIM state</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 4</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Prepare one accessible human-voice draft from approved facts; remove slop without hiding uncertainty or limitations.</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TPL-11/12; before/after and human-author receipt</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 5</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Map one aggregate journey, campaign/service-capacity or SOP question and smallest reversible test—no launch or person-level data.</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TPL-10/17/20/25; approved measure definitions</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 6</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Preview AGT-01; inspect its ORBIT charter, versioned tests, failure, kill, rollback, purge and retirement while it stays P0.</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TPL-28/29; no-run or one-run proposal state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 7</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Retain, Revise, Pause or Remove. Record benefit, burden, failures and unresolved review. Zero active powers remains acceptable.</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TPL-30; named human decision and safe-exit proof</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Days 8–30</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Use at most three powers, one at a time, with one owner, one aggregate outcome question, burden measure, expiry and fresh sources.</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Observed—not promised—value and control receipts</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Days 31–60</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Propose one synthetic or approved aggregate learning experiment; pre-register hypothesis, measures, stop rule and human interpretation.</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TPL-19; no tracking or external action</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Days 61–90</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Review outcomes and burden; recheck CLAIM/CHART/source status, material change and agent registry; rehearse pause and THRIVE-only uninstall.</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Review, change, monitoring, incident and purge evidence</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reminder: </w:t>
      </w:r>
      <w:r>
        <w:rPr>
          <w:rFonts w:ascii="Calibri" w:hAnsi="Calibri" w:eastAsia="Calibri"/>
          <w:color w:val="1F2937"/>
          <w:sz w:val="22"/>
        </w:rPr>
        <w:t>THRIVE gives wellness marketers and managers clearer truth, human experience, relationships, campaigns, service operations, value, life boundaries and AI controls. It does not become the marketer, manager, clinician, customer, reviewer, official system, regulator or platform. Authorized humans decide, act, acknowledge, reconcile and remain accountable.</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THRIVE WELLNESS SERVICES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abstractNum w:abstractNumId="13">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THRIVE — Wellness Services Marketer &amp; Manager Complete AI OS Setup Guide</dc:title>
  <dc:subject>Governed benefits, installation, Mission Control, workflows, claims, campaigns, operations and AI-agent management for wellness services marketers and managers</dc:subject>
  <dc:creator>Hermes–Nurse AI OS</dc:creator>
  <cp:keywords>wellness services, marketing management, THRIVE, Nurse AI OS, Mission Control, AI governance, human voice</cp:keywords>
  <dc:description>generated by python-docx</dc:description>
  <cp:lastModifiedBy/>
  <cp:revision>1</cp:revision>
  <dcterms:created xsi:type="dcterms:W3CDTF">2013-12-23T23:15:00Z</dcterms:created>
  <dcterms:modified xsi:type="dcterms:W3CDTF">2013-12-23T23:15:00Z</dcterms:modified>
  <cp:category/>
</cp:coreProperties>
</file>